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864"/>
          <w:sz w:val="40"/>
          <w:szCs w:val="40"/>
        </w:rPr>
        <w:t xml:space="preserve">MHC Affordable Housing DST 3</w:t>
      </w:r>
    </w:p>
    <w:p>
      <w:pPr>
        <w:spacing w:after="40"/>
      </w:pPr>
      <w:r>
        <w:rPr>
          <w:rFonts w:ascii="Arial" w:cs="Arial" w:eastAsia="Arial" w:hAnsi="Arial"/>
          <w:b/>
          <w:bCs/>
          <w:color w:val="2E75B6"/>
          <w:sz w:val="28"/>
          <w:szCs w:val="28"/>
        </w:rPr>
        <w:t xml:space="preserve">Capital Expenditures Completed by Category and Year</w:t>
      </w:r>
    </w:p>
    <w:p>
      <w:pPr>
        <w:spacing w:after="240"/>
      </w:pPr>
      <w:r>
        <w:rPr>
          <w:rFonts w:ascii="Arial" w:cs="Arial" w:eastAsia="Arial" w:hAnsi="Arial"/>
          <w:i/>
          <w:iCs/>
          <w:color w:val="555555"/>
          <w:sz w:val="20"/>
          <w:szCs w:val="20"/>
        </w:rPr>
        <w:t xml:space="preserve">Combined General Ledger, 12/01/2021 – 06/23/2026 (accrual basis) — 10 properties</w:t>
      </w:r>
      <w:r>
        <w:rPr>
          <w:rFonts w:ascii="Arial" w:cs="Arial" w:eastAsia="Arial" w:hAnsi="Arial"/>
          <w:i/>
          <w:iCs/>
          <w:color w:val="555555"/>
          <w:sz w:val="20"/>
          <w:szCs w:val="20"/>
        </w:rPr>
        <w:t xml:space="preserve"> | Prepared June 23, 2026</w:t>
      </w:r>
    </w:p>
    <w:p>
      <w:pPr>
        <w:pStyle w:val="Heading1"/>
      </w:pPr>
      <w:r>
        <w:t xml:space="preserve">Overview</w:t>
      </w:r>
    </w:p>
    <w:p>
      <w:pPr>
        <w:spacing w:after="120"/>
      </w:pPr>
      <w:r>
        <w:rPr>
          <w:rFonts w:ascii="Arial" w:cs="Arial" w:eastAsia="Arial" w:hAnsi="Arial"/>
          <w:b w:val="false"/>
          <w:bCs w:val="false"/>
          <w:i w:val="false"/>
          <w:iCs w:val="false"/>
          <w:sz w:val="22"/>
          <w:szCs w:val="22"/>
        </w:rPr>
        <w:t xml:space="preserve">This report summarizes the capital improvements completed across the ten properties in the DST 3 portfolio from December 2021 through June 23, 2026. Figures are drawn from the capital improvement asset accounts in the combined general ledger (</w:t>
      </w:r>
      <w:r>
        <w:rPr>
          <w:rFonts w:ascii="Arial" w:cs="Arial" w:eastAsia="Arial" w:hAnsi="Arial"/>
          <w:b/>
          <w:bCs/>
          <w:i w:val="false"/>
          <w:iCs w:val="false"/>
          <w:sz w:val="22"/>
          <w:szCs w:val="22"/>
        </w:rPr>
        <w:t xml:space="preserve">1801–1806</w:t>
      </w:r>
      <w:r>
        <w:rPr>
          <w:rFonts w:ascii="Arial" w:cs="Arial" w:eastAsia="Arial" w:hAnsi="Arial"/>
          <w:b w:val="false"/>
          <w:bCs w:val="false"/>
          <w:i w:val="false"/>
          <w:iCs w:val="false"/>
          <w:sz w:val="22"/>
          <w:szCs w:val="22"/>
        </w:rPr>
        <w:t xml:space="preserve">) and reflect gross capitalized spending (GL debits) in each year. Over the full period, the portfolio invested </w:t>
      </w:r>
      <w:r>
        <w:rPr>
          <w:rFonts w:ascii="Arial" w:cs="Arial" w:eastAsia="Arial" w:hAnsi="Arial"/>
          <w:b/>
          <w:bCs/>
          <w:i w:val="false"/>
          <w:iCs w:val="false"/>
          <w:sz w:val="22"/>
          <w:szCs w:val="22"/>
        </w:rPr>
        <w:t xml:space="preserve">$4,608,432</w:t>
      </w:r>
      <w:r>
        <w:rPr>
          <w:rFonts w:ascii="Arial" w:cs="Arial" w:eastAsia="Arial" w:hAnsi="Arial"/>
          <w:b w:val="false"/>
          <w:bCs w:val="false"/>
          <w:i w:val="false"/>
          <w:iCs w:val="false"/>
          <w:sz w:val="22"/>
          <w:szCs w:val="22"/>
        </w:rPr>
        <w:t xml:space="preserve"> in capital work — about 63% of it in water and sewer infrastructure, with the heaviest spending in 2022 and 2024.</w:t>
      </w:r>
    </w:p>
    <w:p>
      <w:pPr>
        <w:spacing w:after="120"/>
      </w:pPr>
      <w:r>
        <w:rPr>
          <w:rFonts w:ascii="Arial" w:cs="Arial" w:eastAsia="Arial" w:hAnsi="Arial"/>
          <w:b w:val="false"/>
          <w:bCs w:val="false"/>
          <w:i w:val="false"/>
          <w:iCs w:val="false"/>
          <w:sz w:val="22"/>
          <w:szCs w:val="22"/>
        </w:rPr>
        <w:t xml:space="preserve">Three themes run through the spending. </w:t>
      </w:r>
      <w:r>
        <w:rPr>
          <w:rFonts w:ascii="Arial" w:cs="Arial" w:eastAsia="Arial" w:hAnsi="Arial"/>
          <w:b/>
          <w:bCs/>
          <w:i w:val="false"/>
          <w:iCs w:val="false"/>
          <w:sz w:val="22"/>
          <w:szCs w:val="22"/>
        </w:rPr>
        <w:t xml:space="preserve">Water and sewer overhaul</w:t>
      </w:r>
      <w:r>
        <w:rPr>
          <w:rFonts w:ascii="Arial" w:cs="Arial" w:eastAsia="Arial" w:hAnsi="Arial"/>
          <w:b w:val="false"/>
          <w:bCs w:val="false"/>
          <w:i w:val="false"/>
          <w:iCs w:val="false"/>
          <w:sz w:val="22"/>
          <w:szCs w:val="22"/>
        </w:rPr>
        <w:t xml:space="preserve"> — well, WWTP, water-main, valve, and sewer-line work — was the largest and most persistent driver, concentrated at Arbor Village and Rustic Pines. </w:t>
      </w:r>
      <w:r>
        <w:rPr>
          <w:rFonts w:ascii="Arial" w:cs="Arial" w:eastAsia="Arial" w:hAnsi="Arial"/>
          <w:b/>
          <w:bCs/>
          <w:i w:val="false"/>
          <w:iCs w:val="false"/>
          <w:sz w:val="22"/>
          <w:szCs w:val="22"/>
        </w:rPr>
        <w:t xml:space="preserve">Regulatory compliance</w:t>
      </w:r>
      <w:r>
        <w:rPr>
          <w:rFonts w:ascii="Arial" w:cs="Arial" w:eastAsia="Arial" w:hAnsi="Arial"/>
          <w:b w:val="false"/>
          <w:bCs w:val="false"/>
          <w:i w:val="false"/>
          <w:iCs w:val="false"/>
          <w:sz w:val="22"/>
          <w:szCs w:val="22"/>
        </w:rPr>
        <w:t xml:space="preserve"> recurs throughout: state violations and notices of violation from Michigan EGLE and the Ohio EPA prompted water-system, road, and electrical repairs and several civil penalties. And </w:t>
      </w:r>
      <w:r>
        <w:rPr>
          <w:rFonts w:ascii="Arial" w:cs="Arial" w:eastAsia="Arial" w:hAnsi="Arial"/>
          <w:b/>
          <w:bCs/>
          <w:i w:val="false"/>
          <w:iCs w:val="false"/>
          <w:sz w:val="22"/>
          <w:szCs w:val="22"/>
        </w:rPr>
        <w:t xml:space="preserve">storm and tornado damage</w:t>
      </w:r>
      <w:r>
        <w:rPr>
          <w:rFonts w:ascii="Arial" w:cs="Arial" w:eastAsia="Arial" w:hAnsi="Arial"/>
          <w:b w:val="false"/>
          <w:bCs w:val="false"/>
          <w:i w:val="false"/>
          <w:iCs w:val="false"/>
          <w:sz w:val="22"/>
          <w:szCs w:val="22"/>
        </w:rPr>
        <w:t xml:space="preserve"> drove much of the tree work, especially in 2022 and 2026. Notable one-time assets include a standby generator at Four Seasons (2024) and a generator installation at Rustic Pines (2025), and full road repaving at Brady Hills (2023–2024).</w:t>
      </w:r>
    </w:p>
    <w:p>
      <w:pPr>
        <w:spacing w:after="120"/>
      </w:pPr>
      <w:r>
        <w:rPr>
          <w:rFonts w:ascii="Arial" w:cs="Arial" w:eastAsia="Arial" w:hAnsi="Arial"/>
          <w:b/>
          <w:bCs/>
          <w:i w:val="false"/>
          <w:iCs w:val="false"/>
          <w:sz w:val="22"/>
          <w:szCs w:val="22"/>
        </w:rPr>
        <w:t xml:space="preserve">Spending by category, by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40"/>
        <w:gridCol w:w="940"/>
        <w:gridCol w:w="940"/>
        <w:gridCol w:w="940"/>
        <w:gridCol w:w="940"/>
        <w:gridCol w:w="940"/>
        <w:gridCol w:w="1520"/>
      </w:tblGrid>
      <w:tr>
        <w:trPr>
          <w:tblHeader/>
        </w:trPr>
        <w:tc>
          <w:tcPr>
            <w:tcW w:type="dxa" w:w="220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left"/>
            </w:pPr>
            <w:r>
              <w:rPr>
                <w:rFonts w:ascii="Arial" w:cs="Arial" w:eastAsia="Arial" w:hAnsi="Arial"/>
                <w:b/>
                <w:bCs/>
                <w:color w:val="FFFFFF"/>
                <w:sz w:val="16"/>
                <w:szCs w:val="16"/>
              </w:rPr>
              <w:t xml:space="preserve">Category</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152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22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5"/>
                <w:szCs w:val="15"/>
              </w:rPr>
              <w:t xml:space="preserve">Water &amp; Sewer (1802)</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$29,232</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$732,859</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$429,868</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$685,042</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$755,865</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$249,178</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$2,882,044</w:t>
            </w:r>
          </w:p>
        </w:tc>
      </w:tr>
      <w:tr>
        <w:tc>
          <w:tcPr>
            <w:tcW w:type="dxa" w:w="22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5"/>
                <w:szCs w:val="15"/>
              </w:rPr>
              <w:t xml:space="preserve">Trees (1804)</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$54,513</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$192,159</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$37,515</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$64,047</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$37,980</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$64,350</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$450,564</w:t>
            </w:r>
          </w:p>
        </w:tc>
      </w:tr>
      <w:tr>
        <w:tc>
          <w:tcPr>
            <w:tcW w:type="dxa" w:w="22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5"/>
                <w:szCs w:val="15"/>
              </w:rPr>
              <w:t xml:space="preserve">Electric (1806)</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$11,285</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$231,116</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$85,120</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$70,383</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$41,221</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$9,007</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$448,132</w:t>
            </w:r>
          </w:p>
        </w:tc>
      </w:tr>
      <w:tr>
        <w:tc>
          <w:tcPr>
            <w:tcW w:type="dxa" w:w="22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5"/>
                <w:szCs w:val="15"/>
              </w:rPr>
              <w:t xml:space="preserve">Roads (1803)</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$184,763</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$96,674</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$97,789</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$3,831</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$50,970</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$434,027</w:t>
            </w:r>
          </w:p>
        </w:tc>
      </w:tr>
      <w:tr>
        <w:tc>
          <w:tcPr>
            <w:tcW w:type="dxa" w:w="22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5"/>
                <w:szCs w:val="15"/>
              </w:rPr>
              <w:t xml:space="preserve">Capital Improvements – General (1801)</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$1,080</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$69,928</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$60,411</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$206,994</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$13,801</w:t>
            </w:r>
          </w:p>
        </w:tc>
        <w:tc>
          <w:tcPr>
            <w:tcW w:type="dxa" w:w="94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$25,200</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$377,414</w:t>
            </w:r>
          </w:p>
        </w:tc>
      </w:tr>
      <w:tr>
        <w:tc>
          <w:tcPr>
            <w:tcW w:type="dxa" w:w="22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5"/>
                <w:szCs w:val="15"/>
              </w:rPr>
              <w:t xml:space="preserve">Auto / Vehicles (1805)</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$9,238</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$180</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$635</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$400</w:t>
            </w:r>
          </w:p>
        </w:tc>
        <w:tc>
          <w:tcPr>
            <w:tcW w:type="dxa" w:w="94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5"/>
                <w:szCs w:val="15"/>
              </w:rPr>
              <w:t xml:space="preserve">$5,800</w:t>
            </w:r>
          </w:p>
        </w:tc>
        <w:tc>
          <w:tcPr>
            <w:tcW w:type="dxa" w:w="152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right"/>
            </w:pPr>
            <w:r>
              <w:rPr>
                <w:rFonts w:ascii="Arial" w:cs="Arial" w:eastAsia="Arial" w:hAnsi="Arial"/>
                <w:b/>
                <w:bCs/>
                <w:color w:val="000000"/>
                <w:sz w:val="15"/>
                <w:szCs w:val="15"/>
              </w:rPr>
              <w:t xml:space="preserve">$16,253</w:t>
            </w:r>
          </w:p>
        </w:tc>
      </w:tr>
      <w:tr>
        <w:tc>
          <w:tcPr>
            <w:tcW w:type="dxa" w:w="220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left"/>
            </w:pPr>
            <w:r>
              <w:rPr>
                <w:rFonts w:ascii="Arial" w:cs="Arial" w:eastAsia="Arial" w:hAnsi="Arial"/>
                <w:b/>
                <w:bCs/>
                <w:color w:val="FFFFFF"/>
                <w:sz w:val="15"/>
                <w:szCs w:val="15"/>
              </w:rPr>
              <w:t xml:space="preserve">TOTAL</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$96,110</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$1,420,063</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$709,768</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$1,124,890</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$853,098</w:t>
            </w:r>
          </w:p>
        </w:tc>
        <w:tc>
          <w:tcPr>
            <w:tcW w:type="dxa" w:w="94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$404,505</w:t>
            </w:r>
          </w:p>
        </w:tc>
        <w:tc>
          <w:tcPr>
            <w:tcW w:type="dxa" w:w="152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5"/>
                <w:szCs w:val="15"/>
              </w:rPr>
              <w:t xml:space="preserve">$4,608,434</w:t>
            </w:r>
          </w:p>
        </w:tc>
      </w:tr>
    </w:tbl>
    <w:p>
      <w:pPr>
        <w:spacing w:after="200"/>
      </w:pPr>
      <w:r>
        <w:rPr>
          <w:rFonts w:ascii="Arial" w:cs="Arial" w:eastAsia="Arial" w:hAnsi="Arial"/>
          <w:b w:val="false"/>
          <w:bCs w:val="false"/>
          <w:i/>
          <w:iCs/>
          <w:sz w:val="22"/>
          <w:szCs w:val="22"/>
        </w:rPr>
        <w:t xml:space="preserve">* 2026 figures are year-to-date through June 23, 2026 and are not a full year. December 2021 is the only month captured for 2021.</w:t>
      </w:r>
    </w:p>
    <w:p>
      <w:pPr>
        <w:spacing w:after="120"/>
      </w:pPr>
      <w:r>
        <w:rPr>
          <w:rFonts w:ascii="Arial" w:cs="Arial" w:eastAsia="Arial" w:hAnsi="Arial"/>
          <w:b/>
          <w:bCs/>
          <w:i w:val="false"/>
          <w:iCs w:val="false"/>
          <w:sz w:val="22"/>
          <w:szCs w:val="22"/>
        </w:rPr>
        <w:t xml:space="preserve">Spending by property (full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3760"/>
      </w:tblGrid>
      <w:tr>
        <w:trPr>
          <w:tblHeader/>
        </w:trPr>
        <w:tc>
          <w:tcPr>
            <w:tcW w:type="dxa" w:w="560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left"/>
            </w:pPr>
            <w:r>
              <w:rPr>
                <w:rFonts w:ascii="Arial" w:cs="Arial" w:eastAsia="Arial" w:hAnsi="Arial"/>
                <w:b/>
                <w:bCs/>
                <w:color w:val="FFFFFF"/>
                <w:sz w:val="16"/>
                <w:szCs w:val="16"/>
              </w:rPr>
              <w:t xml:space="preserve">Property</w:t>
            </w:r>
          </w:p>
        </w:tc>
        <w:tc>
          <w:tcPr>
            <w:tcW w:type="dxa" w:w="376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 CapEx</w:t>
            </w:r>
          </w:p>
        </w:tc>
      </w:tr>
      <w:tr>
        <w:tc>
          <w:tcPr>
            <w:tcW w:type="dxa" w:w="56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8"/>
                <w:szCs w:val="18"/>
              </w:rPr>
              <w:t xml:space="preserve">Arbor Village</w:t>
            </w:r>
          </w:p>
        </w:tc>
        <w:tc>
          <w:tcPr>
            <w:tcW w:type="dxa" w:w="376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$1,162,705</w:t>
            </w:r>
          </w:p>
        </w:tc>
      </w:tr>
      <w:tr>
        <w:tc>
          <w:tcPr>
            <w:tcW w:type="dxa" w:w="56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8"/>
                <w:szCs w:val="18"/>
              </w:rPr>
              <w:t xml:space="preserve">Rustic Pines</w:t>
            </w:r>
          </w:p>
        </w:tc>
        <w:tc>
          <w:tcPr>
            <w:tcW w:type="dxa" w:w="376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$670,544</w:t>
            </w:r>
          </w:p>
        </w:tc>
      </w:tr>
      <w:tr>
        <w:tc>
          <w:tcPr>
            <w:tcW w:type="dxa" w:w="56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8"/>
                <w:szCs w:val="18"/>
              </w:rPr>
              <w:t xml:space="preserve">Four Seasons</w:t>
            </w:r>
          </w:p>
        </w:tc>
        <w:tc>
          <w:tcPr>
            <w:tcW w:type="dxa" w:w="376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$565,566</w:t>
            </w:r>
          </w:p>
        </w:tc>
      </w:tr>
      <w:tr>
        <w:tc>
          <w:tcPr>
            <w:tcW w:type="dxa" w:w="56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8"/>
                <w:szCs w:val="18"/>
              </w:rPr>
              <w:t xml:space="preserve">Watson</w:t>
            </w:r>
          </w:p>
        </w:tc>
        <w:tc>
          <w:tcPr>
            <w:tcW w:type="dxa" w:w="376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$466,592</w:t>
            </w:r>
          </w:p>
        </w:tc>
      </w:tr>
      <w:tr>
        <w:tc>
          <w:tcPr>
            <w:tcW w:type="dxa" w:w="56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8"/>
                <w:szCs w:val="18"/>
              </w:rPr>
              <w:t xml:space="preserve">Brady Hills</w:t>
            </w:r>
          </w:p>
        </w:tc>
        <w:tc>
          <w:tcPr>
            <w:tcW w:type="dxa" w:w="376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$450,798</w:t>
            </w:r>
          </w:p>
        </w:tc>
      </w:tr>
      <w:tr>
        <w:tc>
          <w:tcPr>
            <w:tcW w:type="dxa" w:w="56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8"/>
                <w:szCs w:val="18"/>
              </w:rPr>
              <w:t xml:space="preserve">Parkway Village</w:t>
            </w:r>
          </w:p>
        </w:tc>
        <w:tc>
          <w:tcPr>
            <w:tcW w:type="dxa" w:w="376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$356,067</w:t>
            </w:r>
          </w:p>
        </w:tc>
      </w:tr>
      <w:tr>
        <w:tc>
          <w:tcPr>
            <w:tcW w:type="dxa" w:w="56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8"/>
                <w:szCs w:val="18"/>
              </w:rPr>
              <w:t xml:space="preserve">New Village</w:t>
            </w:r>
          </w:p>
        </w:tc>
        <w:tc>
          <w:tcPr>
            <w:tcW w:type="dxa" w:w="376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$342,901</w:t>
            </w:r>
          </w:p>
        </w:tc>
      </w:tr>
      <w:tr>
        <w:tc>
          <w:tcPr>
            <w:tcW w:type="dxa" w:w="56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8"/>
                <w:szCs w:val="18"/>
              </w:rPr>
              <w:t xml:space="preserve">Villager</w:t>
            </w:r>
          </w:p>
        </w:tc>
        <w:tc>
          <w:tcPr>
            <w:tcW w:type="dxa" w:w="376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$237,428</w:t>
            </w:r>
          </w:p>
        </w:tc>
      </w:tr>
      <w:tr>
        <w:tc>
          <w:tcPr>
            <w:tcW w:type="dxa" w:w="560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left"/>
            </w:pPr>
            <w:r>
              <w:rPr>
                <w:rFonts w:ascii="Arial" w:cs="Arial" w:eastAsia="Arial" w:hAnsi="Arial"/>
                <w:b/>
                <w:bCs/>
                <w:color w:val="000000"/>
                <w:sz w:val="18"/>
                <w:szCs w:val="18"/>
              </w:rPr>
              <w:t xml:space="preserve">Gun River East</w:t>
            </w:r>
          </w:p>
        </w:tc>
        <w:tc>
          <w:tcPr>
            <w:tcW w:type="dxa" w:w="376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$232,362</w:t>
            </w:r>
          </w:p>
        </w:tc>
      </w:tr>
      <w:tr>
        <w:tc>
          <w:tcPr>
            <w:tcW w:type="dxa" w:w="560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left"/>
            </w:pPr>
            <w:r>
              <w:rPr>
                <w:rFonts w:ascii="Arial" w:cs="Arial" w:eastAsia="Arial" w:hAnsi="Arial"/>
                <w:b/>
                <w:bCs/>
                <w:color w:val="000000"/>
                <w:sz w:val="18"/>
                <w:szCs w:val="18"/>
              </w:rPr>
              <w:t xml:space="preserve">Gun River West</w:t>
            </w:r>
          </w:p>
        </w:tc>
        <w:tc>
          <w:tcPr>
            <w:tcW w:type="dxa" w:w="376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right"/>
            </w:pPr>
            <w:r>
              <w:rPr>
                <w:rFonts w:ascii="Arial" w:cs="Arial" w:eastAsia="Arial" w:hAnsi="Arial"/>
                <w:b w:val="false"/>
                <w:bCs w:val="false"/>
                <w:color w:val="000000"/>
                <w:sz w:val="18"/>
                <w:szCs w:val="18"/>
              </w:rPr>
              <w:t xml:space="preserve">$123,469</w:t>
            </w:r>
          </w:p>
        </w:tc>
      </w:tr>
      <w:tr>
        <w:tc>
          <w:tcPr>
            <w:tcW w:type="dxa" w:w="560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left"/>
            </w:pPr>
            <w:r>
              <w:rPr>
                <w:rFonts w:ascii="Arial" w:cs="Arial" w:eastAsia="Arial" w:hAnsi="Arial"/>
                <w:b/>
                <w:bCs/>
                <w:color w:val="FFFFFF"/>
                <w:sz w:val="18"/>
                <w:szCs w:val="18"/>
              </w:rPr>
              <w:t xml:space="preserve">TOTAL</w:t>
            </w:r>
          </w:p>
        </w:tc>
        <w:tc>
          <w:tcPr>
            <w:tcW w:type="dxa" w:w="376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right"/>
            </w:pPr>
            <w:r>
              <w:rPr>
                <w:rFonts w:ascii="Arial" w:cs="Arial" w:eastAsia="Arial" w:hAnsi="Arial"/>
                <w:b/>
                <w:bCs/>
                <w:color w:val="FFFFFF"/>
                <w:sz w:val="18"/>
                <w:szCs w:val="18"/>
              </w:rPr>
              <w:t xml:space="preserve">$4,608,432</w:t>
            </w:r>
          </w:p>
        </w:tc>
      </w:tr>
    </w:tbl>
    <w:p>
      <w:pPr>
        <w:spacing w:after="200"/>
      </w:pPr>
      <w:r>
        <w:rPr>
          <w:rFonts w:ascii="Arial" w:cs="Arial" w:eastAsia="Arial" w:hAnsi="Arial"/>
          <w:b w:val="false"/>
          <w:bCs w:val="false"/>
          <w:i/>
          <w:iCs/>
          <w:sz w:val="22"/>
          <w:szCs w:val="22"/>
        </w:rPr>
        <w:t xml:space="preserve">Arbor Village alone accounts for roughly a quarter of portfolio capital spending; together with Rustic Pines and Four Seasons it makes up just over half.</w:t>
      </w:r>
    </w:p>
    <w:p>
      <w:pPr>
        <w:pStyle w:val="Heading1"/>
      </w:pPr>
      <w:r>
        <w:t xml:space="preserve">Water &amp; Sewer (Account 1802) — $2,882,043</w:t>
      </w:r>
    </w:p>
    <w:p>
      <w:pPr>
        <w:spacing w:after="120"/>
      </w:pPr>
      <w:r>
        <w:rPr>
          <w:rFonts w:ascii="Arial" w:cs="Arial" w:eastAsia="Arial" w:hAnsi="Arial"/>
          <w:sz w:val="22"/>
          <w:szCs w:val="22"/>
        </w:rPr>
        <w:t xml:space="preserve">The dominant category in every year, centered on wells, the wastewater treatment plant (WWTP), water mains, isolation valves, and sewer lines — much of it tied to state regulatory orders. Heaviest at Arbor Village and Rustic Pines.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$29,232</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$732,859</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$429,868</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$685,042</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$755,865</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$249,178</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$2,882,044</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2021 (Dec) — $29,232. </w:t>
      </w:r>
      <w:r>
        <w:rPr>
          <w:rFonts w:ascii="Arial" w:cs="Arial" w:eastAsia="Arial" w:hAnsi="Arial"/>
          <w:b w:val="false"/>
          <w:bCs w:val="false"/>
          <w:i w:val="false"/>
          <w:iCs w:val="false"/>
          <w:sz w:val="22"/>
          <w:szCs w:val="22"/>
        </w:rPr>
        <w:t xml:space="preserve">Initial WWTP pump and infiltration work (Highland Treatment, J.C.M. Contracting), early engineering (Buckeye Civil Design), a new hydrant, and a main sewer-line repair.</w:t>
      </w:r>
    </w:p>
    <w:p>
      <w:pPr>
        <w:pStyle w:val="ListParagraph"/>
        <w:numPr>
          <w:ilvl w:val="0"/>
          <w:numId w:val="2"/>
        </w:numPr>
        <w:spacing w:after="60"/>
      </w:pPr>
      <w:r>
        <w:rPr>
          <w:rFonts w:ascii="Arial" w:cs="Arial" w:eastAsia="Arial" w:hAnsi="Arial"/>
          <w:b/>
          <w:bCs/>
          <w:i w:val="false"/>
          <w:iCs w:val="false"/>
          <w:sz w:val="22"/>
          <w:szCs w:val="22"/>
        </w:rPr>
        <w:t xml:space="preserve">2022 — $732,859. </w:t>
      </w:r>
      <w:r>
        <w:rPr>
          <w:rFonts w:ascii="Arial" w:cs="Arial" w:eastAsia="Arial" w:hAnsi="Arial"/>
          <w:b w:val="false"/>
          <w:bCs w:val="false"/>
          <w:i w:val="false"/>
          <w:iCs w:val="false"/>
          <w:sz w:val="22"/>
          <w:szCs w:val="22"/>
        </w:rPr>
        <w:t xml:space="preserve">A major year at Arbor Village: a well project (Peerless Midwest), a new 4-inch water service (Lyon Mechanical ~$32,000), manhole resurfacing/sealing (JK of Michigan ~$16,200), and ongoing WWTP operations (Highland Treatment out-of-scope service, multiple months ~$15,000–$21,000 each), plus multiple plumbing repairs at New Village (A+ Plumbing).</w:t>
      </w:r>
    </w:p>
    <w:p>
      <w:pPr>
        <w:pStyle w:val="ListParagraph"/>
        <w:numPr>
          <w:ilvl w:val="0"/>
          <w:numId w:val="2"/>
        </w:numPr>
        <w:spacing w:after="60"/>
      </w:pPr>
      <w:r>
        <w:rPr>
          <w:rFonts w:ascii="Arial" w:cs="Arial" w:eastAsia="Arial" w:hAnsi="Arial"/>
          <w:b/>
          <w:bCs/>
          <w:i w:val="false"/>
          <w:iCs w:val="false"/>
          <w:sz w:val="22"/>
          <w:szCs w:val="22"/>
        </w:rPr>
        <w:t xml:space="preserve">2023 — $429,868. </w:t>
      </w:r>
      <w:r>
        <w:rPr>
          <w:rFonts w:ascii="Arial" w:cs="Arial" w:eastAsia="Arial" w:hAnsi="Arial"/>
          <w:b w:val="false"/>
          <w:bCs w:val="false"/>
          <w:i w:val="false"/>
          <w:iCs w:val="false"/>
          <w:sz w:val="22"/>
          <w:szCs w:val="22"/>
        </w:rPr>
        <w:t xml:space="preserve">Rustic Pines hour-meter pit project (Mack Industries ~$40,200; B&amp;J Environmental ~$25,200) and filter-tank repair (Jamison ~$25,800); backflow-device installation at Four Seasons (Granderson ~$16,300); and plumbing work at Parkway Village (ZPlumberz).</w:t>
      </w:r>
    </w:p>
    <w:p>
      <w:pPr>
        <w:pStyle w:val="ListParagraph"/>
        <w:numPr>
          <w:ilvl w:val="0"/>
          <w:numId w:val="2"/>
        </w:numPr>
        <w:spacing w:after="60"/>
      </w:pPr>
      <w:r>
        <w:rPr>
          <w:rFonts w:ascii="Arial" w:cs="Arial" w:eastAsia="Arial" w:hAnsi="Arial"/>
          <w:b/>
          <w:bCs/>
          <w:i w:val="false"/>
          <w:iCs w:val="false"/>
          <w:sz w:val="22"/>
          <w:szCs w:val="22"/>
        </w:rPr>
        <w:t xml:space="preserve">2024 — $685,042. </w:t>
      </w:r>
      <w:r>
        <w:rPr>
          <w:rFonts w:ascii="Arial" w:cs="Arial" w:eastAsia="Arial" w:hAnsi="Arial"/>
          <w:b w:val="false"/>
          <w:bCs w:val="false"/>
          <w:i w:val="false"/>
          <w:iCs w:val="false"/>
          <w:sz w:val="22"/>
          <w:szCs w:val="22"/>
        </w:rPr>
        <w:t xml:space="preserve">The largest single item in the dataset — a Four Seasons sewer connection (S.E.T. Inc. ~$106,800) — plus extensive Arbor Village WWTP and notice-of-violation repairs (A+ Plumbing: ~$60,000 violation-repair down payment, $48,000 WWTP NOV, ~$28,800 underground-leak final payment, new main-line shut-offs).</w:t>
      </w:r>
    </w:p>
    <w:p>
      <w:pPr>
        <w:pStyle w:val="ListParagraph"/>
        <w:numPr>
          <w:ilvl w:val="0"/>
          <w:numId w:val="2"/>
        </w:numPr>
        <w:spacing w:after="60"/>
      </w:pPr>
      <w:r>
        <w:rPr>
          <w:rFonts w:ascii="Arial" w:cs="Arial" w:eastAsia="Arial" w:hAnsi="Arial"/>
          <w:b/>
          <w:bCs/>
          <w:i w:val="false"/>
          <w:iCs w:val="false"/>
          <w:sz w:val="22"/>
          <w:szCs w:val="22"/>
        </w:rPr>
        <w:t xml:space="preserve">2025 — $755,865. </w:t>
      </w:r>
      <w:r>
        <w:rPr>
          <w:rFonts w:ascii="Arial" w:cs="Arial" w:eastAsia="Arial" w:hAnsi="Arial"/>
          <w:b w:val="false"/>
          <w:bCs w:val="false"/>
          <w:i w:val="false"/>
          <w:iCs w:val="false"/>
          <w:sz w:val="22"/>
          <w:szCs w:val="22"/>
        </w:rPr>
        <w:t xml:space="preserve">Arbor Village water-valve/isolation project (Brevalle Properties) and EGLE penalties; Rustic Pines sewer video inspection (Lake County Sewer ~$43,000), engineering (Ziad Musallam ~$21,000), sand-bed cleaning and aeration (Joseph Kristoff), and a generator installation (~$14,400). Large sewer back-up repair at Villager (~$26,000).</w:t>
      </w:r>
    </w:p>
    <w:p>
      <w:pPr>
        <w:pStyle w:val="ListParagraph"/>
        <w:numPr>
          <w:ilvl w:val="0"/>
          <w:numId w:val="2"/>
        </w:numPr>
        <w:spacing w:after="60"/>
      </w:pPr>
      <w:r>
        <w:rPr>
          <w:rFonts w:ascii="Arial" w:cs="Arial" w:eastAsia="Arial" w:hAnsi="Arial"/>
          <w:b/>
          <w:bCs/>
          <w:i w:val="false"/>
          <w:iCs w:val="false"/>
          <w:sz w:val="22"/>
          <w:szCs w:val="22"/>
        </w:rPr>
        <w:t xml:space="preserve">2026 YTD — $249,178. </w:t>
      </w:r>
      <w:r>
        <w:rPr>
          <w:rFonts w:ascii="Arial" w:cs="Arial" w:eastAsia="Arial" w:hAnsi="Arial"/>
          <w:b w:val="false"/>
          <w:bCs w:val="false"/>
          <w:i w:val="false"/>
          <w:iCs w:val="false"/>
          <w:sz w:val="22"/>
          <w:szCs w:val="22"/>
        </w:rPr>
        <w:t xml:space="preserve">Continued Arbor Village valve and leak repairs (Hillside Excavation) and EGLE penalties; sewer test/seal rehabilitation at Rustic Pines (Lake County Sewer ~$35,200).</w:t>
      </w:r>
    </w:p>
    <w:p>
      <w:pPr>
        <w:pStyle w:val="Heading1"/>
      </w:pPr>
      <w:r>
        <w:t xml:space="preserve">Trees (Account 1804) — $450,564</w:t>
      </w:r>
    </w:p>
    <w:p>
      <w:pPr>
        <w:spacing w:after="120"/>
      </w:pPr>
      <w:r>
        <w:rPr>
          <w:rFonts w:ascii="Arial" w:cs="Arial" w:eastAsia="Arial" w:hAnsi="Arial"/>
          <w:sz w:val="22"/>
          <w:szCs w:val="22"/>
        </w:rPr>
        <w:t xml:space="preserve">Largely hazard, dead-tree, and storm/tornado removals across the portfolio.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$54,513</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$192,159</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$37,515</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$64,047</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$37,980</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$64,350</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$450,564</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2021 (Dec) — $54,513. </w:t>
      </w:r>
      <w:r>
        <w:rPr>
          <w:rFonts w:ascii="Arial" w:cs="Arial" w:eastAsia="Arial" w:hAnsi="Arial"/>
          <w:b w:val="false"/>
          <w:bCs w:val="false"/>
          <w:i w:val="false"/>
          <w:iCs w:val="false"/>
          <w:sz w:val="22"/>
          <w:szCs w:val="22"/>
        </w:rPr>
        <w:t xml:space="preserve">Park tree removals and trimming at Gun River East (All Around Trees ~$25,300), Parkway Village (Squared Up ~$16,000), and Watson and Four Seasons.</w:t>
      </w:r>
    </w:p>
    <w:p>
      <w:pPr>
        <w:pStyle w:val="ListParagraph"/>
        <w:numPr>
          <w:ilvl w:val="0"/>
          <w:numId w:val="2"/>
        </w:numPr>
        <w:spacing w:after="60"/>
      </w:pPr>
      <w:r>
        <w:rPr>
          <w:rFonts w:ascii="Arial" w:cs="Arial" w:eastAsia="Arial" w:hAnsi="Arial"/>
          <w:b/>
          <w:bCs/>
          <w:i w:val="false"/>
          <w:iCs w:val="false"/>
          <w:sz w:val="22"/>
          <w:szCs w:val="22"/>
        </w:rPr>
        <w:t xml:space="preserve">2022 — $192,159. </w:t>
      </w:r>
      <w:r>
        <w:rPr>
          <w:rFonts w:ascii="Arial" w:cs="Arial" w:eastAsia="Arial" w:hAnsi="Arial"/>
          <w:b w:val="false"/>
          <w:bCs w:val="false"/>
          <w:i w:val="false"/>
          <w:iCs w:val="false"/>
          <w:sz w:val="22"/>
          <w:szCs w:val="22"/>
        </w:rPr>
        <w:t xml:space="preserve">The peak year: a park-wide cleanup at Arbor Village (Iron Horse ~$24,000), removal of 42 trees at Rustic Pines (Scott Beaver), and numerous removals at Gun River East/West and Parkway.</w:t>
      </w:r>
    </w:p>
    <w:p>
      <w:pPr>
        <w:pStyle w:val="ListParagraph"/>
        <w:numPr>
          <w:ilvl w:val="0"/>
          <w:numId w:val="2"/>
        </w:numPr>
        <w:spacing w:after="60"/>
      </w:pPr>
      <w:r>
        <w:rPr>
          <w:rFonts w:ascii="Arial" w:cs="Arial" w:eastAsia="Arial" w:hAnsi="Arial"/>
          <w:b/>
          <w:bCs/>
          <w:i w:val="false"/>
          <w:iCs w:val="false"/>
          <w:sz w:val="22"/>
          <w:szCs w:val="22"/>
        </w:rPr>
        <w:t xml:space="preserve">2023 — $37,515. </w:t>
      </w:r>
      <w:r>
        <w:rPr>
          <w:rFonts w:ascii="Arial" w:cs="Arial" w:eastAsia="Arial" w:hAnsi="Arial"/>
          <w:b w:val="false"/>
          <w:bCs w:val="false"/>
          <w:i w:val="false"/>
          <w:iCs w:val="false"/>
          <w:sz w:val="22"/>
          <w:szCs w:val="22"/>
        </w:rPr>
        <w:t xml:space="preserve">Multiple removals at Brady Hills (Kohler Tree Service) and Parkway (Antz), plus a removal at Gun River West.</w:t>
      </w:r>
    </w:p>
    <w:p>
      <w:pPr>
        <w:pStyle w:val="ListParagraph"/>
        <w:numPr>
          <w:ilvl w:val="0"/>
          <w:numId w:val="2"/>
        </w:numPr>
        <w:spacing w:after="60"/>
      </w:pPr>
      <w:r>
        <w:rPr>
          <w:rFonts w:ascii="Arial" w:cs="Arial" w:eastAsia="Arial" w:hAnsi="Arial"/>
          <w:b/>
          <w:bCs/>
          <w:i w:val="false"/>
          <w:iCs w:val="false"/>
          <w:sz w:val="22"/>
          <w:szCs w:val="22"/>
        </w:rPr>
        <w:t xml:space="preserve">2024 — $64,047. </w:t>
      </w:r>
      <w:r>
        <w:rPr>
          <w:rFonts w:ascii="Arial" w:cs="Arial" w:eastAsia="Arial" w:hAnsi="Arial"/>
          <w:b w:val="false"/>
          <w:bCs w:val="false"/>
          <w:i w:val="false"/>
          <w:iCs w:val="false"/>
          <w:sz w:val="22"/>
          <w:szCs w:val="22"/>
        </w:rPr>
        <w:t xml:space="preserve">Fifteen trees trimmed/removed at Four Seasons (Starwood ~$22,400), storm removals at Parkway (County Tree), and removals at Gun River East/West and Villager.</w:t>
      </w:r>
    </w:p>
    <w:p>
      <w:pPr>
        <w:pStyle w:val="ListParagraph"/>
        <w:numPr>
          <w:ilvl w:val="0"/>
          <w:numId w:val="2"/>
        </w:numPr>
        <w:spacing w:after="60"/>
      </w:pPr>
      <w:r>
        <w:rPr>
          <w:rFonts w:ascii="Arial" w:cs="Arial" w:eastAsia="Arial" w:hAnsi="Arial"/>
          <w:b/>
          <w:bCs/>
          <w:i w:val="false"/>
          <w:iCs w:val="false"/>
          <w:sz w:val="22"/>
          <w:szCs w:val="22"/>
        </w:rPr>
        <w:t xml:space="preserve">2025 — $37,980. </w:t>
      </w:r>
      <w:r>
        <w:rPr>
          <w:rFonts w:ascii="Arial" w:cs="Arial" w:eastAsia="Arial" w:hAnsi="Arial"/>
          <w:b w:val="false"/>
          <w:bCs w:val="false"/>
          <w:i w:val="false"/>
          <w:iCs w:val="false"/>
          <w:sz w:val="22"/>
          <w:szCs w:val="22"/>
        </w:rPr>
        <w:t xml:space="preserve">Hazard and emergency removals at Parkway (~$13,700), Rustic Pines, Four Seasons, and state-inspection trimming at Watson.</w:t>
      </w:r>
    </w:p>
    <w:p>
      <w:pPr>
        <w:pStyle w:val="ListParagraph"/>
        <w:numPr>
          <w:ilvl w:val="0"/>
          <w:numId w:val="2"/>
        </w:numPr>
        <w:spacing w:after="60"/>
      </w:pPr>
      <w:r>
        <w:rPr>
          <w:rFonts w:ascii="Arial" w:cs="Arial" w:eastAsia="Arial" w:hAnsi="Arial"/>
          <w:b/>
          <w:bCs/>
          <w:i w:val="false"/>
          <w:iCs w:val="false"/>
          <w:sz w:val="22"/>
          <w:szCs w:val="22"/>
        </w:rPr>
        <w:t xml:space="preserve">2026 YTD — $64,350. </w:t>
      </w:r>
      <w:r>
        <w:rPr>
          <w:rFonts w:ascii="Arial" w:cs="Arial" w:eastAsia="Arial" w:hAnsi="Arial"/>
          <w:b w:val="false"/>
          <w:bCs w:val="false"/>
          <w:i w:val="false"/>
          <w:iCs w:val="false"/>
          <w:sz w:val="22"/>
          <w:szCs w:val="22"/>
        </w:rPr>
        <w:t xml:space="preserve">Tornado storm-damage cleanup at Gun River West (All Around Trees ~$46,900) and Watson (~$9,800), plus removals at Brady Hills and elsewhere.</w:t>
      </w:r>
    </w:p>
    <w:p>
      <w:pPr>
        <w:pStyle w:val="Heading1"/>
      </w:pPr>
      <w:r>
        <w:t xml:space="preserve">Electric (Account 1806) — $448,132</w:t>
      </w:r>
    </w:p>
    <w:p>
      <w:pPr>
        <w:spacing w:after="120"/>
      </w:pPr>
      <w:r>
        <w:rPr>
          <w:rFonts w:ascii="Arial" w:cs="Arial" w:eastAsia="Arial" w:hAnsi="Arial"/>
          <w:sz w:val="22"/>
          <w:szCs w:val="22"/>
        </w:rPr>
        <w:t xml:space="preserve">Pedestal replacements, pole and meter-base work, street lighting, and service-wire repairs across the parks.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$11,285</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$231,116</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$85,120</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$70,383</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$41,221</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$9,007</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$448,132</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2021 (Dec) — $11,285. </w:t>
      </w:r>
      <w:r>
        <w:rPr>
          <w:rFonts w:ascii="Arial" w:cs="Arial" w:eastAsia="Arial" w:hAnsi="Arial"/>
          <w:b w:val="false"/>
          <w:bCs w:val="false"/>
          <w:i w:val="false"/>
          <w:iCs w:val="false"/>
          <w:sz w:val="22"/>
          <w:szCs w:val="22"/>
        </w:rPr>
        <w:t xml:space="preserve">Roadway-lighting investigation at Watson (Laws Electric), lighting repairs at Parkway, and pedestal upgrades.</w:t>
      </w:r>
    </w:p>
    <w:p>
      <w:pPr>
        <w:pStyle w:val="ListParagraph"/>
        <w:numPr>
          <w:ilvl w:val="0"/>
          <w:numId w:val="2"/>
        </w:numPr>
        <w:spacing w:after="60"/>
      </w:pPr>
      <w:r>
        <w:rPr>
          <w:rFonts w:ascii="Arial" w:cs="Arial" w:eastAsia="Arial" w:hAnsi="Arial"/>
          <w:b/>
          <w:bCs/>
          <w:i w:val="false"/>
          <w:iCs w:val="false"/>
          <w:sz w:val="22"/>
          <w:szCs w:val="22"/>
        </w:rPr>
        <w:t xml:space="preserve">2022 — $231,116. </w:t>
      </w:r>
      <w:r>
        <w:rPr>
          <w:rFonts w:ascii="Arial" w:cs="Arial" w:eastAsia="Arial" w:hAnsi="Arial"/>
          <w:b w:val="false"/>
          <w:bCs w:val="false"/>
          <w:i w:val="false"/>
          <w:iCs w:val="false"/>
          <w:sz w:val="22"/>
          <w:szCs w:val="22"/>
        </w:rPr>
        <w:t xml:space="preserve">The peak year: major pole and electrical work at Four Seasons (Valewood ~$20,800 and ~$19,700 jobs plus many 5-gang meter-base pedestals), pedestal replacements at Watson, and supply purchases at New Village.</w:t>
      </w:r>
    </w:p>
    <w:p>
      <w:pPr>
        <w:pStyle w:val="ListParagraph"/>
        <w:numPr>
          <w:ilvl w:val="0"/>
          <w:numId w:val="2"/>
        </w:numPr>
        <w:spacing w:after="60"/>
      </w:pPr>
      <w:r>
        <w:rPr>
          <w:rFonts w:ascii="Arial" w:cs="Arial" w:eastAsia="Arial" w:hAnsi="Arial"/>
          <w:b/>
          <w:bCs/>
          <w:i w:val="false"/>
          <w:iCs w:val="false"/>
          <w:sz w:val="22"/>
          <w:szCs w:val="22"/>
        </w:rPr>
        <w:t xml:space="preserve">2023 — $85,120. </w:t>
      </w:r>
      <w:r>
        <w:rPr>
          <w:rFonts w:ascii="Arial" w:cs="Arial" w:eastAsia="Arial" w:hAnsi="Arial"/>
          <w:b w:val="false"/>
          <w:bCs w:val="false"/>
          <w:i w:val="false"/>
          <w:iCs w:val="false"/>
          <w:sz w:val="22"/>
          <w:szCs w:val="22"/>
        </w:rPr>
        <w:t xml:space="preserve">A new-pedestal replacement program at Arbor Village (A+ Electric, many pedestals ~$5,000 each).</w:t>
      </w:r>
    </w:p>
    <w:p>
      <w:pPr>
        <w:pStyle w:val="ListParagraph"/>
        <w:numPr>
          <w:ilvl w:val="0"/>
          <w:numId w:val="2"/>
        </w:numPr>
        <w:spacing w:after="60"/>
      </w:pPr>
      <w:r>
        <w:rPr>
          <w:rFonts w:ascii="Arial" w:cs="Arial" w:eastAsia="Arial" w:hAnsi="Arial"/>
          <w:b/>
          <w:bCs/>
          <w:i w:val="false"/>
          <w:iCs w:val="false"/>
          <w:sz w:val="22"/>
          <w:szCs w:val="22"/>
        </w:rPr>
        <w:t xml:space="preserve">2024 — $70,383. </w:t>
      </w:r>
      <w:r>
        <w:rPr>
          <w:rFonts w:ascii="Arial" w:cs="Arial" w:eastAsia="Arial" w:hAnsi="Arial"/>
          <w:b w:val="false"/>
          <w:bCs w:val="false"/>
          <w:i w:val="false"/>
          <w:iCs w:val="false"/>
          <w:sz w:val="22"/>
          <w:szCs w:val="22"/>
        </w:rPr>
        <w:t xml:space="preserve">Electric utility installation at Arbor Village (Consumers Energy ~$12,800) and pedestal/meter upgrades across Villager, New Village, Four Seasons, and Rustic Pines.</w:t>
      </w:r>
    </w:p>
    <w:p>
      <w:pPr>
        <w:pStyle w:val="ListParagraph"/>
        <w:numPr>
          <w:ilvl w:val="0"/>
          <w:numId w:val="2"/>
        </w:numPr>
        <w:spacing w:after="60"/>
      </w:pPr>
      <w:r>
        <w:rPr>
          <w:rFonts w:ascii="Arial" w:cs="Arial" w:eastAsia="Arial" w:hAnsi="Arial"/>
          <w:b/>
          <w:bCs/>
          <w:i w:val="false"/>
          <w:iCs w:val="false"/>
          <w:sz w:val="22"/>
          <w:szCs w:val="22"/>
        </w:rPr>
        <w:t xml:space="preserve">2025 — $41,221. </w:t>
      </w:r>
      <w:r>
        <w:rPr>
          <w:rFonts w:ascii="Arial" w:cs="Arial" w:eastAsia="Arial" w:hAnsi="Arial"/>
          <w:b w:val="false"/>
          <w:bCs w:val="false"/>
          <w:i w:val="false"/>
          <w:iCs w:val="false"/>
          <w:sz w:val="22"/>
          <w:szCs w:val="22"/>
        </w:rPr>
        <w:t xml:space="preserve">Arbor Village electrical work (Cochran ~$23,100), Four Seasons pedestal/service repairs, a new pedestal at Watson, and service-wire repairs at Rustic Pines.</w:t>
      </w:r>
    </w:p>
    <w:p>
      <w:pPr>
        <w:pStyle w:val="ListParagraph"/>
        <w:numPr>
          <w:ilvl w:val="0"/>
          <w:numId w:val="2"/>
        </w:numPr>
        <w:spacing w:after="60"/>
      </w:pPr>
      <w:r>
        <w:rPr>
          <w:rFonts w:ascii="Arial" w:cs="Arial" w:eastAsia="Arial" w:hAnsi="Arial"/>
          <w:b/>
          <w:bCs/>
          <w:i w:val="false"/>
          <w:iCs w:val="false"/>
          <w:sz w:val="22"/>
          <w:szCs w:val="22"/>
        </w:rPr>
        <w:t xml:space="preserve">2026 YTD — $9,007. </w:t>
      </w:r>
      <w:r>
        <w:rPr>
          <w:rFonts w:ascii="Arial" w:cs="Arial" w:eastAsia="Arial" w:hAnsi="Arial"/>
          <w:b w:val="false"/>
          <w:bCs w:val="false"/>
          <w:i w:val="false"/>
          <w:iCs w:val="false"/>
          <w:sz w:val="22"/>
          <w:szCs w:val="22"/>
        </w:rPr>
        <w:t xml:space="preserve">Street-light repair at Arbor Village to clear a 2026 state violation (A+ Electric) and an underground-break repair at Rustic Pines.</w:t>
      </w:r>
    </w:p>
    <w:p>
      <w:pPr>
        <w:pStyle w:val="Heading1"/>
      </w:pPr>
      <w:r>
        <w:t xml:space="preserve">Roads (Account 1803) — $434,027</w:t>
      </w:r>
    </w:p>
    <w:p>
      <w:pPr>
        <w:spacing w:after="120"/>
      </w:pPr>
      <w:r>
        <w:rPr>
          <w:rFonts w:ascii="Arial" w:cs="Arial" w:eastAsia="Arial" w:hAnsi="Arial"/>
          <w:sz w:val="22"/>
          <w:szCs w:val="22"/>
        </w:rPr>
        <w:t xml:space="preserve">Pothole and asphalt repair, much of it for state violations, plus full road repaving at Brady Hills.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$184,763</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$96,674</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$97,789</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$3,831</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$50,970</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$434,027</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2022 — $184,763. </w:t>
      </w:r>
      <w:r>
        <w:rPr>
          <w:rFonts w:ascii="Arial" w:cs="Arial" w:eastAsia="Arial" w:hAnsi="Arial"/>
          <w:b w:val="false"/>
          <w:bCs w:val="false"/>
          <w:i w:val="false"/>
          <w:iCs w:val="false"/>
          <w:sz w:val="22"/>
          <w:szCs w:val="22"/>
        </w:rPr>
        <w:t xml:space="preserve">Road work at Four Seasons (Iron Eagle ~$35,400), road repair at Villager (Painesville Asphalt ~$52,500), sidewalk repairs at New Village, and asphalt/pothole work at Parkway and Arbor Village.</w:t>
      </w:r>
    </w:p>
    <w:p>
      <w:pPr>
        <w:pStyle w:val="ListParagraph"/>
        <w:numPr>
          <w:ilvl w:val="0"/>
          <w:numId w:val="2"/>
        </w:numPr>
        <w:spacing w:after="60"/>
      </w:pPr>
      <w:r>
        <w:rPr>
          <w:rFonts w:ascii="Arial" w:cs="Arial" w:eastAsia="Arial" w:hAnsi="Arial"/>
          <w:b/>
          <w:bCs/>
          <w:i w:val="false"/>
          <w:iCs w:val="false"/>
          <w:sz w:val="22"/>
          <w:szCs w:val="22"/>
        </w:rPr>
        <w:t xml:space="preserve">2023 — $96,674. </w:t>
      </w:r>
      <w:r>
        <w:rPr>
          <w:rFonts w:ascii="Arial" w:cs="Arial" w:eastAsia="Arial" w:hAnsi="Arial"/>
          <w:b w:val="false"/>
          <w:bCs w:val="false"/>
          <w:i w:val="false"/>
          <w:iCs w:val="false"/>
          <w:sz w:val="22"/>
          <w:szCs w:val="22"/>
        </w:rPr>
        <w:t xml:space="preserve">Full road paving at Brady Hills (Smith Paving ~$95,100), plus minor pothole materials.</w:t>
      </w:r>
    </w:p>
    <w:p>
      <w:pPr>
        <w:pStyle w:val="ListParagraph"/>
        <w:numPr>
          <w:ilvl w:val="0"/>
          <w:numId w:val="2"/>
        </w:numPr>
        <w:spacing w:after="60"/>
      </w:pPr>
      <w:r>
        <w:rPr>
          <w:rFonts w:ascii="Arial" w:cs="Arial" w:eastAsia="Arial" w:hAnsi="Arial"/>
          <w:b/>
          <w:bCs/>
          <w:i w:val="false"/>
          <w:iCs w:val="false"/>
          <w:sz w:val="22"/>
          <w:szCs w:val="22"/>
        </w:rPr>
        <w:t xml:space="preserve">2024 — $97,789. </w:t>
      </w:r>
      <w:r>
        <w:rPr>
          <w:rFonts w:ascii="Arial" w:cs="Arial" w:eastAsia="Arial" w:hAnsi="Arial"/>
          <w:b w:val="false"/>
          <w:bCs w:val="false"/>
          <w:i w:val="false"/>
          <w:iCs w:val="false"/>
          <w:sz w:val="22"/>
          <w:szCs w:val="22"/>
        </w:rPr>
        <w:t xml:space="preserve">Completion of the Brady Hills repaving (Smith Paving ~$93,500) and cold-patch pothole repairs at Arbor Village and Rustic Pines.</w:t>
      </w:r>
    </w:p>
    <w:p>
      <w:pPr>
        <w:pStyle w:val="ListParagraph"/>
        <w:numPr>
          <w:ilvl w:val="0"/>
          <w:numId w:val="2"/>
        </w:numPr>
        <w:spacing w:after="60"/>
      </w:pPr>
      <w:r>
        <w:rPr>
          <w:rFonts w:ascii="Arial" w:cs="Arial" w:eastAsia="Arial" w:hAnsi="Arial"/>
          <w:b/>
          <w:bCs/>
          <w:i w:val="false"/>
          <w:iCs w:val="false"/>
          <w:sz w:val="22"/>
          <w:szCs w:val="22"/>
        </w:rPr>
        <w:t xml:space="preserve">2025 — $3,831. </w:t>
      </w:r>
      <w:r>
        <w:rPr>
          <w:rFonts w:ascii="Arial" w:cs="Arial" w:eastAsia="Arial" w:hAnsi="Arial"/>
          <w:b w:val="false"/>
          <w:bCs w:val="false"/>
          <w:i w:val="false"/>
          <w:iCs w:val="false"/>
          <w:sz w:val="22"/>
          <w:szCs w:val="22"/>
        </w:rPr>
        <w:t xml:space="preserve">Pothole / road-repair materials at Four Seasons and Rustic Pines (state-violation pickups).</w:t>
      </w:r>
    </w:p>
    <w:p>
      <w:pPr>
        <w:pStyle w:val="ListParagraph"/>
        <w:numPr>
          <w:ilvl w:val="0"/>
          <w:numId w:val="2"/>
        </w:numPr>
        <w:spacing w:after="60"/>
      </w:pPr>
      <w:r>
        <w:rPr>
          <w:rFonts w:ascii="Arial" w:cs="Arial" w:eastAsia="Arial" w:hAnsi="Arial"/>
          <w:b/>
          <w:bCs/>
          <w:i w:val="false"/>
          <w:iCs w:val="false"/>
          <w:sz w:val="22"/>
          <w:szCs w:val="22"/>
        </w:rPr>
        <w:t xml:space="preserve">2026 YTD — $50,970. </w:t>
      </w:r>
      <w:r>
        <w:rPr>
          <w:rFonts w:ascii="Arial" w:cs="Arial" w:eastAsia="Arial" w:hAnsi="Arial"/>
          <w:b w:val="false"/>
          <w:bCs w:val="false"/>
          <w:i w:val="false"/>
          <w:iCs w:val="false"/>
          <w:sz w:val="22"/>
          <w:szCs w:val="22"/>
        </w:rPr>
        <w:t xml:space="preserve">State-violation asphalt repairs: New Village (Quality Asphalt ~$28,100), Rustic Pines cul-de-sac (~$8,200), and Arbor Village (Williams Sealcoating ~$8,800).</w:t>
      </w:r>
    </w:p>
    <w:p>
      <w:pPr>
        <w:pStyle w:val="Heading1"/>
      </w:pPr>
      <w:r>
        <w:t xml:space="preserve">Capital Improvements – General (Account 1801) — $377,413</w:t>
      </w:r>
    </w:p>
    <w:p>
      <w:pPr>
        <w:spacing w:after="120"/>
      </w:pPr>
      <w:r>
        <w:rPr>
          <w:rFonts w:ascii="Arial" w:cs="Arial" w:eastAsia="Arial" w:hAnsi="Arial"/>
          <w:b w:val="false"/>
          <w:bCs w:val="false"/>
          <w:i w:val="false"/>
          <w:iCs w:val="false"/>
          <w:sz w:val="22"/>
          <w:szCs w:val="22"/>
        </w:rPr>
        <w:t xml:space="preserve">Home demolitions, de-trashing, clean-up dumpsters, and miscellaneous site assets. Gross spend was $377,413; net of credits (insurance recoveries and reclassifications, ~$60,000 portfolio-wide), net capitalized cost was lower — see methodology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$1,080</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$69,928</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$60,411</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$206,994</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$13,801</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$25,200</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$377,414</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2021 (Dec) — $1,080. </w:t>
      </w:r>
      <w:r>
        <w:rPr>
          <w:rFonts w:ascii="Arial" w:cs="Arial" w:eastAsia="Arial" w:hAnsi="Arial"/>
          <w:b w:val="false"/>
          <w:bCs w:val="false"/>
          <w:i w:val="false"/>
          <w:iCs w:val="false"/>
          <w:sz w:val="22"/>
          <w:szCs w:val="22"/>
        </w:rPr>
        <w:t xml:space="preserve">Unit de-trashing at Parkway Village.</w:t>
      </w:r>
    </w:p>
    <w:p>
      <w:pPr>
        <w:pStyle w:val="ListParagraph"/>
        <w:numPr>
          <w:ilvl w:val="0"/>
          <w:numId w:val="2"/>
        </w:numPr>
        <w:spacing w:after="60"/>
      </w:pPr>
      <w:r>
        <w:rPr>
          <w:rFonts w:ascii="Arial" w:cs="Arial" w:eastAsia="Arial" w:hAnsi="Arial"/>
          <w:b/>
          <w:bCs/>
          <w:i w:val="false"/>
          <w:iCs w:val="false"/>
          <w:sz w:val="22"/>
          <w:szCs w:val="22"/>
        </w:rPr>
        <w:t xml:space="preserve">2022 — $69,928. </w:t>
      </w:r>
      <w:r>
        <w:rPr>
          <w:rFonts w:ascii="Arial" w:cs="Arial" w:eastAsia="Arial" w:hAnsi="Arial"/>
          <w:b w:val="false"/>
          <w:bCs w:val="false"/>
          <w:i w:val="false"/>
          <w:iCs w:val="false"/>
          <w:sz w:val="22"/>
          <w:szCs w:val="22"/>
        </w:rPr>
        <w:t xml:space="preserve">Home demolitions (Golf Stream, Paramount), a new office furnace at Watson (Fire &amp; Ice ~$5,000), and clean-up dumpsters.</w:t>
      </w:r>
    </w:p>
    <w:p>
      <w:pPr>
        <w:pStyle w:val="ListParagraph"/>
        <w:numPr>
          <w:ilvl w:val="0"/>
          <w:numId w:val="2"/>
        </w:numPr>
        <w:spacing w:after="60"/>
      </w:pPr>
      <w:r>
        <w:rPr>
          <w:rFonts w:ascii="Arial" w:cs="Arial" w:eastAsia="Arial" w:hAnsi="Arial"/>
          <w:b/>
          <w:bCs/>
          <w:i w:val="false"/>
          <w:iCs w:val="false"/>
          <w:sz w:val="22"/>
          <w:szCs w:val="22"/>
        </w:rPr>
        <w:t xml:space="preserve">2023 — $60,411. </w:t>
      </w:r>
      <w:r>
        <w:rPr>
          <w:rFonts w:ascii="Arial" w:cs="Arial" w:eastAsia="Arial" w:hAnsi="Arial"/>
          <w:b w:val="false"/>
          <w:bCs w:val="false"/>
          <w:i w:val="false"/>
          <w:iCs w:val="false"/>
          <w:sz w:val="22"/>
          <w:szCs w:val="22"/>
        </w:rPr>
        <w:t xml:space="preserve">A home-demolition program at Watson (Paramount — units WTS-2, WTS-9, WTS-173) and an emergency-exit installation at Brady Hills.</w:t>
      </w:r>
    </w:p>
    <w:p>
      <w:pPr>
        <w:pStyle w:val="ListParagraph"/>
        <w:numPr>
          <w:ilvl w:val="0"/>
          <w:numId w:val="2"/>
        </w:numPr>
        <w:spacing w:after="60"/>
      </w:pPr>
      <w:r>
        <w:rPr>
          <w:rFonts w:ascii="Arial" w:cs="Arial" w:eastAsia="Arial" w:hAnsi="Arial"/>
          <w:b/>
          <w:bCs/>
          <w:i w:val="false"/>
          <w:iCs w:val="false"/>
          <w:sz w:val="22"/>
          <w:szCs w:val="22"/>
        </w:rPr>
        <w:t xml:space="preserve">2024 — $206,994. </w:t>
      </w:r>
      <w:r>
        <w:rPr>
          <w:rFonts w:ascii="Arial" w:cs="Arial" w:eastAsia="Arial" w:hAnsi="Arial"/>
          <w:b w:val="false"/>
          <w:bCs w:val="false"/>
          <w:i w:val="false"/>
          <w:iCs w:val="false"/>
          <w:sz w:val="22"/>
          <w:szCs w:val="22"/>
        </w:rPr>
        <w:t xml:space="preserve">The largest general-capex year: a standby generator at Four Seasons (Buckeye Power Sales ~$37,200) and an extensive home-demolition program at Four Seasons (Mike's Hauling, numerous units ~$5,600 each).</w:t>
      </w:r>
    </w:p>
    <w:p>
      <w:pPr>
        <w:pStyle w:val="ListParagraph"/>
        <w:numPr>
          <w:ilvl w:val="0"/>
          <w:numId w:val="2"/>
        </w:numPr>
        <w:spacing w:after="60"/>
      </w:pPr>
      <w:r>
        <w:rPr>
          <w:rFonts w:ascii="Arial" w:cs="Arial" w:eastAsia="Arial" w:hAnsi="Arial"/>
          <w:b/>
          <w:bCs/>
          <w:i w:val="false"/>
          <w:iCs w:val="false"/>
          <w:sz w:val="22"/>
          <w:szCs w:val="22"/>
        </w:rPr>
        <w:t xml:space="preserve">2025 — $13,801. </w:t>
      </w:r>
      <w:r>
        <w:rPr>
          <w:rFonts w:ascii="Arial" w:cs="Arial" w:eastAsia="Arial" w:hAnsi="Arial"/>
          <w:b w:val="false"/>
          <w:bCs w:val="false"/>
          <w:i w:val="false"/>
          <w:iCs w:val="false"/>
          <w:sz w:val="22"/>
          <w:szCs w:val="22"/>
        </w:rPr>
        <w:t xml:space="preserve">Home demolition at New Village, shed demolition and fall clean-up dumpsters at Arbor Village, and gas-line/meter compliance at Four Seasons.</w:t>
      </w:r>
    </w:p>
    <w:p>
      <w:pPr>
        <w:pStyle w:val="ListParagraph"/>
        <w:numPr>
          <w:ilvl w:val="0"/>
          <w:numId w:val="2"/>
        </w:numPr>
        <w:spacing w:after="60"/>
      </w:pPr>
      <w:r>
        <w:rPr>
          <w:rFonts w:ascii="Arial" w:cs="Arial" w:eastAsia="Arial" w:hAnsi="Arial"/>
          <w:b/>
          <w:bCs/>
          <w:i w:val="false"/>
          <w:iCs w:val="false"/>
          <w:sz w:val="22"/>
          <w:szCs w:val="22"/>
        </w:rPr>
        <w:t xml:space="preserve">2026 YTD — $25,200. </w:t>
      </w:r>
      <w:r>
        <w:rPr>
          <w:rFonts w:ascii="Arial" w:cs="Arial" w:eastAsia="Arial" w:hAnsi="Arial"/>
          <w:b w:val="false"/>
          <w:bCs w:val="false"/>
          <w:i w:val="false"/>
          <w:iCs w:val="false"/>
          <w:sz w:val="22"/>
          <w:szCs w:val="22"/>
        </w:rPr>
        <w:t xml:space="preserve">Home demolitions at Arbor Village (AV-242, AV-271) and Brady Hills (BHL-130).</w:t>
      </w:r>
    </w:p>
    <w:p>
      <w:pPr>
        <w:pStyle w:val="Heading1"/>
      </w:pPr>
      <w:r>
        <w:t xml:space="preserve">Auto / Vehicles (Account 1805) — $16,253</w:t>
      </w:r>
    </w:p>
    <w:p>
      <w:pPr>
        <w:spacing w:after="120"/>
      </w:pPr>
      <w:r>
        <w:rPr>
          <w:rFonts w:ascii="Arial" w:cs="Arial" w:eastAsia="Arial" w:hAnsi="Arial"/>
          <w:sz w:val="22"/>
          <w:szCs w:val="22"/>
        </w:rPr>
        <w:t xml:space="preserve">A small account for park trucks and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80"/>
        <w:gridCol w:w="1180"/>
        <w:gridCol w:w="1180"/>
        <w:gridCol w:w="1180"/>
        <w:gridCol w:w="1180"/>
        <w:gridCol w:w="1180"/>
        <w:gridCol w:w="2280"/>
      </w:tblGrid>
      <w:tr>
        <w:trPr>
          <w:tblHeader/>
        </w:trPr>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2021</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2022</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2023</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2024</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2025</w:t>
            </w:r>
          </w:p>
        </w:tc>
        <w:tc>
          <w:tcPr>
            <w:tcW w:type="dxa" w:w="11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2026*</w:t>
            </w:r>
          </w:p>
        </w:tc>
        <w:tc>
          <w:tcPr>
            <w:tcW w:type="dxa" w:w="2280"/>
            <w:tcBorders>
              <w:top w:val="single" w:color="BBBBBB" w:sz="1"/>
              <w:left w:val="single" w:color="BBBBBB" w:sz="1"/>
              <w:bottom w:val="single" w:color="BBBBBB" w:sz="1"/>
              <w:right w:val="single" w:color="BBBBBB" w:sz="1"/>
            </w:tcBorders>
            <w:shd w:fill="1F3864" w:val="clear"/>
            <w:tcMar>
              <w:top w:type="dxa" w:w="50"/>
              <w:left w:type="dxa" w:w="90"/>
              <w:bottom w:type="dxa" w:w="50"/>
              <w:right w:type="dxa" w:w="90"/>
            </w:tcMar>
          </w:tcPr>
          <w:p>
            <w:pPr>
              <w:jc w:val="center"/>
            </w:pPr>
            <w:r>
              <w:rPr>
                <w:rFonts w:ascii="Arial" w:cs="Arial" w:eastAsia="Arial" w:hAnsi="Arial"/>
                <w:b/>
                <w:bCs/>
                <w:color w:val="FFFFFF"/>
                <w:sz w:val="16"/>
                <w:szCs w:val="16"/>
              </w:rPr>
              <w:t xml:space="preserve">Total</w:t>
            </w:r>
          </w:p>
        </w:tc>
      </w:tr>
      <w:tr>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$9,238</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$180</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$635</w:t>
            </w:r>
          </w:p>
        </w:tc>
        <w:tc>
          <w:tcPr>
            <w:tcW w:type="dxa" w:w="1180"/>
            <w:tcBorders>
              <w:top w:val="single" w:color="BBBBBB" w:sz="1"/>
              <w:left w:val="single" w:color="BBBBBB" w:sz="1"/>
              <w:bottom w:val="single" w:color="BBBBBB" w:sz="1"/>
              <w:right w:val="single" w:color="BBBBBB" w:sz="1"/>
            </w:tcBorders>
            <w:shd w:fill="FFFFFF"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$400</w:t>
            </w:r>
          </w:p>
        </w:tc>
        <w:tc>
          <w:tcPr>
            <w:tcW w:type="dxa" w:w="1180"/>
            <w:tcBorders>
              <w:top w:val="single" w:color="BBBBBB" w:sz="1"/>
              <w:left w:val="single" w:color="BBBBBB" w:sz="1"/>
              <w:bottom w:val="single" w:color="BBBBBB" w:sz="1"/>
              <w:right w:val="single" w:color="BBBBBB" w:sz="1"/>
            </w:tcBorders>
            <w:shd w:fill="F2F2F2" w:val="clear"/>
            <w:tcMar>
              <w:top w:type="dxa" w:w="50"/>
              <w:left w:type="dxa" w:w="90"/>
              <w:bottom w:type="dxa" w:w="50"/>
              <w:right w:type="dxa" w:w="90"/>
            </w:tcMar>
          </w:tcPr>
          <w:p>
            <w:pPr>
              <w:jc w:val="center"/>
            </w:pPr>
            <w:r>
              <w:rPr>
                <w:rFonts w:ascii="Arial" w:cs="Arial" w:eastAsia="Arial" w:hAnsi="Arial"/>
                <w:b w:val="false"/>
                <w:bCs w:val="false"/>
                <w:color w:val="000000"/>
                <w:sz w:val="16"/>
                <w:szCs w:val="16"/>
              </w:rPr>
              <w:t xml:space="preserve">$5,800</w:t>
            </w:r>
          </w:p>
        </w:tc>
        <w:tc>
          <w:tcPr>
            <w:tcW w:type="dxa" w:w="2280"/>
            <w:tcBorders>
              <w:top w:val="single" w:color="BBBBBB" w:sz="1"/>
              <w:left w:val="single" w:color="BBBBBB" w:sz="1"/>
              <w:bottom w:val="single" w:color="BBBBBB" w:sz="1"/>
              <w:right w:val="single" w:color="BBBBBB" w:sz="1"/>
            </w:tcBorders>
            <w:shd w:fill="D9E1F2" w:val="clear"/>
            <w:tcMar>
              <w:top w:type="dxa" w:w="50"/>
              <w:left w:type="dxa" w:w="90"/>
              <w:bottom w:type="dxa" w:w="50"/>
              <w:right w:type="dxa" w:w="90"/>
            </w:tcMar>
          </w:tcPr>
          <w:p>
            <w:pPr>
              <w:jc w:val="center"/>
            </w:pPr>
            <w:r>
              <w:rPr>
                <w:rFonts w:ascii="Arial" w:cs="Arial" w:eastAsia="Arial" w:hAnsi="Arial"/>
                <w:b/>
                <w:bCs/>
                <w:color w:val="000000"/>
                <w:sz w:val="16"/>
                <w:szCs w:val="16"/>
              </w:rPr>
              <w:t xml:space="preserve">$16,253</w:t>
            </w:r>
          </w:p>
        </w:tc>
      </w:tr>
    </w:tbl>
    <w:p>
      <w:pPr>
        <w:spacing w:after="120"/>
      </w:pPr>
      <w:r>
        <w:rPr>
          <w:rFonts w:ascii="Arial" w:cs="Arial" w:eastAsia="Arial" w:hAnsi="Arial"/>
          <w:sz w:val="22"/>
          <w:szCs w:val="22"/>
        </w:rPr>
        <w:t xml:space="preserve"/>
      </w:r>
    </w:p>
    <w:p>
      <w:pPr>
        <w:pStyle w:val="ListParagraph"/>
        <w:numPr>
          <w:ilvl w:val="0"/>
          <w:numId w:val="2"/>
        </w:numPr>
        <w:spacing w:after="60"/>
      </w:pPr>
      <w:r>
        <w:rPr>
          <w:rFonts w:ascii="Arial" w:cs="Arial" w:eastAsia="Arial" w:hAnsi="Arial"/>
          <w:b/>
          <w:bCs/>
          <w:i w:val="false"/>
          <w:iCs w:val="false"/>
          <w:sz w:val="22"/>
          <w:szCs w:val="22"/>
        </w:rPr>
        <w:t xml:space="preserve">2022 — $9,238. </w:t>
      </w:r>
      <w:r>
        <w:rPr>
          <w:rFonts w:ascii="Arial" w:cs="Arial" w:eastAsia="Arial" w:hAnsi="Arial"/>
          <w:b w:val="false"/>
          <w:bCs w:val="false"/>
          <w:i w:val="false"/>
          <w:iCs w:val="false"/>
          <w:sz w:val="22"/>
          <w:szCs w:val="22"/>
        </w:rPr>
        <w:t xml:space="preserve">Purchase of a used 1998 Dodge Ram pickup at Brady Hills ($4,000) plus truck, mower, and golf-cart repairs across several parks.</w:t>
      </w:r>
    </w:p>
    <w:p>
      <w:pPr>
        <w:pStyle w:val="ListParagraph"/>
        <w:numPr>
          <w:ilvl w:val="0"/>
          <w:numId w:val="2"/>
        </w:numPr>
        <w:spacing w:after="60"/>
      </w:pPr>
      <w:r>
        <w:rPr>
          <w:rFonts w:ascii="Arial" w:cs="Arial" w:eastAsia="Arial" w:hAnsi="Arial"/>
          <w:b/>
          <w:bCs/>
          <w:i w:val="false"/>
          <w:iCs w:val="false"/>
          <w:sz w:val="22"/>
          <w:szCs w:val="22"/>
        </w:rPr>
        <w:t xml:space="preserve">2023–2025 — under $700/year. </w:t>
      </w:r>
      <w:r>
        <w:rPr>
          <w:rFonts w:ascii="Arial" w:cs="Arial" w:eastAsia="Arial" w:hAnsi="Arial"/>
          <w:b w:val="false"/>
          <w:bCs w:val="false"/>
          <w:i w:val="false"/>
          <w:iCs w:val="false"/>
          <w:sz w:val="22"/>
          <w:szCs w:val="22"/>
        </w:rPr>
        <w:t xml:space="preserve">Minor truck repairs and tires (power-steering box, dump-truck tires).</w:t>
      </w:r>
    </w:p>
    <w:p>
      <w:pPr>
        <w:pStyle w:val="ListParagraph"/>
        <w:numPr>
          <w:ilvl w:val="0"/>
          <w:numId w:val="2"/>
        </w:numPr>
        <w:spacing w:after="60"/>
      </w:pPr>
      <w:r>
        <w:rPr>
          <w:rFonts w:ascii="Arial" w:cs="Arial" w:eastAsia="Arial" w:hAnsi="Arial"/>
          <w:b/>
          <w:bCs/>
          <w:i w:val="false"/>
          <w:iCs w:val="false"/>
          <w:sz w:val="22"/>
          <w:szCs w:val="22"/>
        </w:rPr>
        <w:t xml:space="preserve">2026 YTD — $5,800. </w:t>
      </w:r>
      <w:r>
        <w:rPr>
          <w:rFonts w:ascii="Arial" w:cs="Arial" w:eastAsia="Arial" w:hAnsi="Arial"/>
          <w:b w:val="false"/>
          <w:bCs w:val="false"/>
          <w:i w:val="false"/>
          <w:iCs w:val="false"/>
          <w:sz w:val="22"/>
          <w:szCs w:val="22"/>
        </w:rPr>
        <w:t xml:space="preserve">Maintenance supplies and a battery (~$1,900) and a dump-truck repair (Duncan Mobile Blasting $3,900) at Four Seasons.</w:t>
      </w:r>
    </w:p>
    <w:p>
      <w:pPr>
        <w:pStyle w:val="Heading1"/>
      </w:pPr>
      <w:r>
        <w:t xml:space="preserve">Notes on Methodology</w:t>
      </w:r>
    </w:p>
    <w:p>
      <w:pPr>
        <w:pStyle w:val="ListParagraph"/>
        <w:numPr>
          <w:ilvl w:val="0"/>
          <w:numId w:val="2"/>
        </w:numPr>
        <w:spacing w:after="60"/>
      </w:pPr>
      <w:r>
        <w:rPr>
          <w:rFonts w:ascii="Arial" w:cs="Arial" w:eastAsia="Arial" w:hAnsi="Arial"/>
          <w:sz w:val="22"/>
          <w:szCs w:val="22"/>
        </w:rPr>
        <w:t xml:space="preserve">Amounts shown are gross capitalized spending (general ledger debits) by calendar year, summed from the capital improvement asset accounts 1801–1806 across all ten properties. They reconcile exactly to the activity totals in the source ledger and to the accompanying Excel workbook ($4,608,432 total).</w:t>
      </w:r>
    </w:p>
    <w:p>
      <w:pPr>
        <w:pStyle w:val="ListParagraph"/>
        <w:numPr>
          <w:ilvl w:val="0"/>
          <w:numId w:val="2"/>
        </w:numPr>
        <w:spacing w:after="60"/>
      </w:pPr>
      <w:r>
        <w:rPr>
          <w:rFonts w:ascii="Arial" w:cs="Arial" w:eastAsia="Arial" w:hAnsi="Arial"/>
          <w:sz w:val="22"/>
          <w:szCs w:val="22"/>
        </w:rPr>
        <w:t xml:space="preserve">Credits posted to these accounts — insurance recoveries, vendor adjustments, and post-tax-return reclassifications — total about $59,900 over the period and are not netted out of the figures above (except where noted), so net capitalized activity was approximately $4,548,500.</w:t>
      </w:r>
    </w:p>
    <w:p>
      <w:pPr>
        <w:pStyle w:val="ListParagraph"/>
        <w:numPr>
          <w:ilvl w:val="0"/>
          <w:numId w:val="2"/>
        </w:numPr>
        <w:spacing w:after="60"/>
      </w:pPr>
      <w:r>
        <w:rPr>
          <w:rFonts w:ascii="Arial" w:cs="Arial" w:eastAsia="Arial" w:hAnsi="Arial"/>
          <w:sz w:val="22"/>
          <w:szCs w:val="22"/>
        </w:rPr>
        <w:t xml:space="preserve">The report period (12/01/2021 – 06/23/2026) spans parts of six calendar years: only December is captured for 2021, and 2026 is year-to-date through June 23, 2026. Neither is a full year, so caution is warranted in year-over-year comparisons at those endpoints.</w:t>
      </w:r>
    </w:p>
    <w:p>
      <w:pPr>
        <w:pStyle w:val="ListParagraph"/>
        <w:numPr>
          <w:ilvl w:val="0"/>
          <w:numId w:val="2"/>
        </w:numPr>
        <w:spacing w:after="60"/>
      </w:pPr>
      <w:r>
        <w:rPr>
          <w:rFonts w:ascii="Arial" w:cs="Arial" w:eastAsia="Arial" w:hAnsi="Arial"/>
          <w:sz w:val="22"/>
          <w:szCs w:val="22"/>
        </w:rPr>
        <w:t xml:space="preserve">Work was characterized from the vendor and description on each ledger line. The accompanying Excel workbook contains a category-by-year summary, a property-by-category matrix, and every individual line item (2,020 rows) for reference.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DST 3 — Capital Expenditures Report (2021–2026)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2"/>
      </w:pBdr>
      <w:spacing w:after="140" w:before="280"/>
      <w:outlineLvl w:val="0"/>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2026-06-23T18:54:27.975Z</dcterms:created>
  <dcterms:modified xsi:type="dcterms:W3CDTF">2026-06-23T18:54:27.994Z</dcterms:modified>
</cp:coreProperties>
</file>

<file path=docProps/custom.xml><?xml version="1.0" encoding="utf-8"?>
<Properties xmlns="http://schemas.openxmlformats.org/officeDocument/2006/custom-properties" xmlns:vt="http://schemas.openxmlformats.org/officeDocument/2006/docPropsVTypes"/>
</file>