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864"/>
          <w:sz w:val="40"/>
          <w:szCs w:val="40"/>
        </w:rPr>
        <w:t xml:space="preserve">MHC Affordable Housing DST 3</w:t>
      </w:r>
    </w:p>
    <w:p>
      <w:pPr>
        <w:spacing w:after="40"/>
      </w:pPr>
      <w:r>
        <w:rPr>
          <w:rFonts w:ascii="Arial" w:cs="Arial" w:eastAsia="Arial" w:hAnsi="Arial"/>
          <w:b/>
          <w:bCs/>
          <w:color w:val="2E75B6"/>
          <w:sz w:val="28"/>
          <w:szCs w:val="28"/>
        </w:rPr>
        <w:t xml:space="preserve">Capital Expenditures Completed by Category and Year</w:t>
      </w:r>
    </w:p>
    <w:p>
      <w:pPr>
        <w:spacing w:after="240"/>
      </w:pPr>
      <w:r>
        <w:rPr>
          <w:rFonts w:ascii="Arial" w:cs="Arial" w:eastAsia="Arial" w:hAnsi="Arial"/>
          <w:i/>
          <w:iCs/>
          <w:color w:val="555555"/>
          <w:sz w:val="20"/>
          <w:szCs w:val="20"/>
        </w:rPr>
        <w:t xml:space="preserve">Combined General Ledger, 01/01/2025 – 06/23/2026 (accrual basis) — 10 properties</w:t>
      </w:r>
      <w:r>
        <w:rPr>
          <w:rFonts w:ascii="Arial" w:cs="Arial" w:eastAsia="Arial" w:hAnsi="Arial"/>
          <w:i/>
          <w:iCs/>
          <w:color w:val="555555"/>
          <w:sz w:val="20"/>
          <w:szCs w:val="20"/>
        </w:rPr>
        <w:t xml:space="preserve"> | Prepared June 23, 2026</w:t>
      </w:r>
    </w:p>
    <w:p>
      <w:pPr>
        <w:pStyle w:val="Heading1"/>
      </w:pPr>
      <w:r>
        <w:t xml:space="preserve">Overview</w:t>
      </w:r>
    </w:p>
    <w:p>
      <w:pPr>
        <w:spacing w:after="120"/>
      </w:pPr>
      <w:r>
        <w:rPr>
          <w:rFonts w:ascii="Arial" w:cs="Arial" w:eastAsia="Arial" w:hAnsi="Arial"/>
          <w:b w:val="false"/>
          <w:bCs w:val="false"/>
          <w:i w:val="false"/>
          <w:iCs w:val="false"/>
          <w:sz w:val="22"/>
          <w:szCs w:val="22"/>
        </w:rPr>
        <w:t xml:space="preserve">This report summarizes the capital improvements completed across the ten properties in the DST 3 portfolio between January 1, 2025 and June 23, 2026. Figures are drawn from the capital improvement asset accounts in the combined general ledger (</w:t>
      </w:r>
      <w:r>
        <w:rPr>
          <w:rFonts w:ascii="Arial" w:cs="Arial" w:eastAsia="Arial" w:hAnsi="Arial"/>
          <w:b/>
          <w:bCs/>
          <w:i w:val="false"/>
          <w:iCs w:val="false"/>
          <w:sz w:val="22"/>
          <w:szCs w:val="22"/>
        </w:rPr>
        <w:t xml:space="preserve">1801–1806</w:t>
      </w:r>
      <w:r>
        <w:rPr>
          <w:rFonts w:ascii="Arial" w:cs="Arial" w:eastAsia="Arial" w:hAnsi="Arial"/>
          <w:b w:val="false"/>
          <w:bCs w:val="false"/>
          <w:i w:val="false"/>
          <w:iCs w:val="false"/>
          <w:sz w:val="22"/>
          <w:szCs w:val="22"/>
        </w:rPr>
        <w:t xml:space="preserve">) and reflect gross capitalized spending (GL debits) in each year. Over the period, the portfolio invested </w:t>
      </w:r>
      <w:r>
        <w:rPr>
          <w:rFonts w:ascii="Arial" w:cs="Arial" w:eastAsia="Arial" w:hAnsi="Arial"/>
          <w:b/>
          <w:bCs/>
          <w:i w:val="false"/>
          <w:iCs w:val="false"/>
          <w:sz w:val="22"/>
          <w:szCs w:val="22"/>
        </w:rPr>
        <w:t xml:space="preserve">$1,257,602</w:t>
      </w:r>
      <w:r>
        <w:rPr>
          <w:rFonts w:ascii="Arial" w:cs="Arial" w:eastAsia="Arial" w:hAnsi="Arial"/>
          <w:b w:val="false"/>
          <w:bCs w:val="false"/>
          <w:i w:val="false"/>
          <w:iCs w:val="false"/>
          <w:sz w:val="22"/>
          <w:szCs w:val="22"/>
        </w:rPr>
        <w:t xml:space="preserve"> in capital work — roughly 80% of it in water and sewer infrastructure.</w:t>
      </w:r>
    </w:p>
    <w:p>
      <w:pPr>
        <w:spacing w:after="120"/>
      </w:pPr>
      <w:r>
        <w:rPr>
          <w:rFonts w:ascii="Arial" w:cs="Arial" w:eastAsia="Arial" w:hAnsi="Arial"/>
          <w:b w:val="false"/>
          <w:bCs w:val="false"/>
          <w:i w:val="false"/>
          <w:iCs w:val="false"/>
          <w:sz w:val="22"/>
          <w:szCs w:val="22"/>
        </w:rPr>
        <w:t xml:space="preserve">Two themes run through the spending. The first is </w:t>
      </w:r>
      <w:r>
        <w:rPr>
          <w:rFonts w:ascii="Arial" w:cs="Arial" w:eastAsia="Arial" w:hAnsi="Arial"/>
          <w:b/>
          <w:bCs/>
          <w:i w:val="false"/>
          <w:iCs w:val="false"/>
          <w:sz w:val="22"/>
          <w:szCs w:val="22"/>
        </w:rPr>
        <w:t xml:space="preserve">regulatory compliance</w:t>
      </w:r>
      <w:r>
        <w:rPr>
          <w:rFonts w:ascii="Arial" w:cs="Arial" w:eastAsia="Arial" w:hAnsi="Arial"/>
          <w:b w:val="false"/>
          <w:bCs w:val="false"/>
          <w:i w:val="false"/>
          <w:iCs w:val="false"/>
          <w:sz w:val="22"/>
          <w:szCs w:val="22"/>
        </w:rPr>
        <w:t xml:space="preserve">: a large share of the work was prompted by state violations and notices of violation from the Michigan Department of Environment, Great Lakes &amp; Energy (EGLE) and the Ohio EPA — covering water-system isolation, road repairs, electrical fixes, and several civil penalties. The second is </w:t>
      </w:r>
      <w:r>
        <w:rPr>
          <w:rFonts w:ascii="Arial" w:cs="Arial" w:eastAsia="Arial" w:hAnsi="Arial"/>
          <w:b/>
          <w:bCs/>
          <w:i w:val="false"/>
          <w:iCs w:val="false"/>
          <w:sz w:val="22"/>
          <w:szCs w:val="22"/>
        </w:rPr>
        <w:t xml:space="preserve">storm and tornado damage</w:t>
      </w:r>
      <w:r>
        <w:rPr>
          <w:rFonts w:ascii="Arial" w:cs="Arial" w:eastAsia="Arial" w:hAnsi="Arial"/>
          <w:b w:val="false"/>
          <w:bCs w:val="false"/>
          <w:i w:val="false"/>
          <w:iCs w:val="false"/>
          <w:sz w:val="22"/>
          <w:szCs w:val="22"/>
        </w:rPr>
        <w:t xml:space="preserve">, which drove most of the tree-removal spending, particularly at Gun River West and Watson.</w:t>
      </w:r>
    </w:p>
    <w:p>
      <w:pPr>
        <w:spacing w:after="120"/>
      </w:pPr>
      <w:r>
        <w:rPr>
          <w:rFonts w:ascii="Arial" w:cs="Arial" w:eastAsia="Arial" w:hAnsi="Arial"/>
          <w:b/>
          <w:bCs/>
          <w:i w:val="false"/>
          <w:iCs w:val="false"/>
          <w:sz w:val="22"/>
          <w:szCs w:val="22"/>
        </w:rPr>
        <w:t xml:space="preserve">Spending by category, by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00"/>
        <w:gridCol w:w="1900"/>
        <w:gridCol w:w="1960"/>
      </w:tblGrid>
      <w:tr>
        <w:trPr>
          <w:tblHeader/>
        </w:trPr>
        <w:tc>
          <w:tcPr>
            <w:tcW w:type="dxa" w:w="36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left"/>
            </w:pPr>
            <w:r>
              <w:rPr>
                <w:rFonts w:ascii="Arial" w:cs="Arial" w:eastAsia="Arial" w:hAnsi="Arial"/>
                <w:b/>
                <w:bCs/>
                <w:color w:val="FFFFFF"/>
                <w:sz w:val="18"/>
                <w:szCs w:val="18"/>
              </w:rPr>
              <w:t xml:space="preserve">Category</w:t>
            </w:r>
          </w:p>
        </w:tc>
        <w:tc>
          <w:tcPr>
            <w:tcW w:type="dxa" w:w="19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19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196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Water &amp; Sewer (1802)</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$755,865</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$249,178</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$1,005,043</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Trees (1804)</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$37,980</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$64,350</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$102,330</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Roads (1803)</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$3,831</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$50,970</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$54,801</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Electric (1806)</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$41,221</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$9,007</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$50,228</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Capital Improvements – General (1801)</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$13,801</w:t>
            </w:r>
          </w:p>
        </w:tc>
        <w:tc>
          <w:tcPr>
            <w:tcW w:type="dxa" w:w="19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$25,200</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$39,001</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Auto / Vehicles (1805)</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$400</w:t>
            </w:r>
          </w:p>
        </w:tc>
        <w:tc>
          <w:tcPr>
            <w:tcW w:type="dxa" w:w="19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$5,800</w:t>
            </w:r>
          </w:p>
        </w:tc>
        <w:tc>
          <w:tcPr>
            <w:tcW w:type="dxa" w:w="196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right"/>
            </w:pPr>
            <w:r>
              <w:rPr>
                <w:rFonts w:ascii="Arial" w:cs="Arial" w:eastAsia="Arial" w:hAnsi="Arial"/>
                <w:b/>
                <w:bCs/>
                <w:color w:val="000000"/>
                <w:sz w:val="18"/>
                <w:szCs w:val="18"/>
              </w:rPr>
              <w:t xml:space="preserve">$6,200</w:t>
            </w:r>
          </w:p>
        </w:tc>
      </w:tr>
      <w:tr>
        <w:tc>
          <w:tcPr>
            <w:tcW w:type="dxa" w:w="36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left"/>
            </w:pPr>
            <w:r>
              <w:rPr>
                <w:rFonts w:ascii="Arial" w:cs="Arial" w:eastAsia="Arial" w:hAnsi="Arial"/>
                <w:b/>
                <w:bCs/>
                <w:color w:val="FFFFFF"/>
                <w:sz w:val="18"/>
                <w:szCs w:val="18"/>
              </w:rPr>
              <w:t xml:space="preserve">TOTAL</w:t>
            </w:r>
          </w:p>
        </w:tc>
        <w:tc>
          <w:tcPr>
            <w:tcW w:type="dxa" w:w="19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right"/>
            </w:pPr>
            <w:r>
              <w:rPr>
                <w:rFonts w:ascii="Arial" w:cs="Arial" w:eastAsia="Arial" w:hAnsi="Arial"/>
                <w:b/>
                <w:bCs/>
                <w:color w:val="FFFFFF"/>
                <w:sz w:val="18"/>
                <w:szCs w:val="18"/>
              </w:rPr>
              <w:t xml:space="preserve">$853,098</w:t>
            </w:r>
          </w:p>
        </w:tc>
        <w:tc>
          <w:tcPr>
            <w:tcW w:type="dxa" w:w="19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right"/>
            </w:pPr>
            <w:r>
              <w:rPr>
                <w:rFonts w:ascii="Arial" w:cs="Arial" w:eastAsia="Arial" w:hAnsi="Arial"/>
                <w:b/>
                <w:bCs/>
                <w:color w:val="FFFFFF"/>
                <w:sz w:val="18"/>
                <w:szCs w:val="18"/>
              </w:rPr>
              <w:t xml:space="preserve">$404,505</w:t>
            </w:r>
          </w:p>
        </w:tc>
        <w:tc>
          <w:tcPr>
            <w:tcW w:type="dxa" w:w="196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right"/>
            </w:pPr>
            <w:r>
              <w:rPr>
                <w:rFonts w:ascii="Arial" w:cs="Arial" w:eastAsia="Arial" w:hAnsi="Arial"/>
                <w:b/>
                <w:bCs/>
                <w:color w:val="FFFFFF"/>
                <w:sz w:val="18"/>
                <w:szCs w:val="18"/>
              </w:rPr>
              <w:t xml:space="preserve">$1,257,603</w:t>
            </w:r>
          </w:p>
        </w:tc>
      </w:tr>
    </w:tbl>
    <w:p>
      <w:pPr>
        <w:spacing w:after="200"/>
      </w:pPr>
      <w:r>
        <w:rPr>
          <w:rFonts w:ascii="Arial" w:cs="Arial" w:eastAsia="Arial" w:hAnsi="Arial"/>
          <w:b w:val="false"/>
          <w:bCs w:val="false"/>
          <w:i/>
          <w:iCs/>
          <w:sz w:val="22"/>
          <w:szCs w:val="22"/>
        </w:rPr>
        <w:t xml:space="preserve">Note: 2026 figures are year-to-date through June 23, 2026.</w:t>
      </w:r>
    </w:p>
    <w:p>
      <w:pPr>
        <w:spacing w:after="120"/>
      </w:pPr>
      <w:r>
        <w:rPr>
          <w:rFonts w:ascii="Arial" w:cs="Arial" w:eastAsia="Arial" w:hAnsi="Arial"/>
          <w:b/>
          <w:bCs/>
          <w:i w:val="false"/>
          <w:iCs w:val="false"/>
          <w:sz w:val="22"/>
          <w:szCs w:val="22"/>
        </w:rPr>
        <w:t xml:space="preserve">Spending by property: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3760"/>
      </w:tblGrid>
      <w:tr>
        <w:trPr>
          <w:tblHeader/>
        </w:trPr>
        <w:tc>
          <w:tcPr>
            <w:tcW w:type="dxa" w:w="56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left"/>
            </w:pPr>
            <w:r>
              <w:rPr>
                <w:rFonts w:ascii="Arial" w:cs="Arial" w:eastAsia="Arial" w:hAnsi="Arial"/>
                <w:b/>
                <w:bCs/>
                <w:color w:val="FFFFFF"/>
                <w:sz w:val="18"/>
                <w:szCs w:val="18"/>
              </w:rPr>
              <w:t xml:space="preserve">Property</w:t>
            </w:r>
          </w:p>
        </w:tc>
        <w:tc>
          <w:tcPr>
            <w:tcW w:type="dxa" w:w="376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 CapEx</w:t>
            </w:r>
          </w:p>
        </w:tc>
      </w:tr>
      <w:tr>
        <w:tc>
          <w:tcPr>
            <w:tcW w:type="dxa" w:w="5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Arbor Village</w:t>
            </w:r>
          </w:p>
        </w:tc>
        <w:tc>
          <w:tcPr>
            <w:tcW w:type="dxa" w:w="376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$452,224</w:t>
            </w:r>
          </w:p>
        </w:tc>
      </w:tr>
      <w:tr>
        <w:tc>
          <w:tcPr>
            <w:tcW w:type="dxa" w:w="5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Rustic Pines</w:t>
            </w:r>
          </w:p>
        </w:tc>
        <w:tc>
          <w:tcPr>
            <w:tcW w:type="dxa" w:w="376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$311,591</w:t>
            </w:r>
          </w:p>
        </w:tc>
      </w:tr>
      <w:tr>
        <w:tc>
          <w:tcPr>
            <w:tcW w:type="dxa" w:w="5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Brady Hills</w:t>
            </w:r>
          </w:p>
        </w:tc>
        <w:tc>
          <w:tcPr>
            <w:tcW w:type="dxa" w:w="376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$93,232</w:t>
            </w:r>
          </w:p>
        </w:tc>
      </w:tr>
      <w:tr>
        <w:tc>
          <w:tcPr>
            <w:tcW w:type="dxa" w:w="5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Villager</w:t>
            </w:r>
          </w:p>
        </w:tc>
        <w:tc>
          <w:tcPr>
            <w:tcW w:type="dxa" w:w="376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$86,741</w:t>
            </w:r>
          </w:p>
        </w:tc>
      </w:tr>
      <w:tr>
        <w:tc>
          <w:tcPr>
            <w:tcW w:type="dxa" w:w="5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New Village</w:t>
            </w:r>
          </w:p>
        </w:tc>
        <w:tc>
          <w:tcPr>
            <w:tcW w:type="dxa" w:w="376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$76,529</w:t>
            </w:r>
          </w:p>
        </w:tc>
      </w:tr>
      <w:tr>
        <w:tc>
          <w:tcPr>
            <w:tcW w:type="dxa" w:w="5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Watson</w:t>
            </w:r>
          </w:p>
        </w:tc>
        <w:tc>
          <w:tcPr>
            <w:tcW w:type="dxa" w:w="376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$60,209</w:t>
            </w:r>
          </w:p>
        </w:tc>
      </w:tr>
      <w:tr>
        <w:tc>
          <w:tcPr>
            <w:tcW w:type="dxa" w:w="5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Gun River East</w:t>
            </w:r>
          </w:p>
        </w:tc>
        <w:tc>
          <w:tcPr>
            <w:tcW w:type="dxa" w:w="376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$53,262</w:t>
            </w:r>
          </w:p>
        </w:tc>
      </w:tr>
      <w:tr>
        <w:tc>
          <w:tcPr>
            <w:tcW w:type="dxa" w:w="5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Gun River West</w:t>
            </w:r>
          </w:p>
        </w:tc>
        <w:tc>
          <w:tcPr>
            <w:tcW w:type="dxa" w:w="376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$49,244</w:t>
            </w:r>
          </w:p>
        </w:tc>
      </w:tr>
      <w:tr>
        <w:tc>
          <w:tcPr>
            <w:tcW w:type="dxa" w:w="560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left"/>
            </w:pPr>
            <w:r>
              <w:rPr>
                <w:rFonts w:ascii="Arial" w:cs="Arial" w:eastAsia="Arial" w:hAnsi="Arial"/>
                <w:b/>
                <w:bCs/>
                <w:color w:val="000000"/>
                <w:sz w:val="18"/>
                <w:szCs w:val="18"/>
              </w:rPr>
              <w:t xml:space="preserve">Four Seasons</w:t>
            </w:r>
          </w:p>
        </w:tc>
        <w:tc>
          <w:tcPr>
            <w:tcW w:type="dxa" w:w="3760"/>
            <w:tcBorders>
              <w:top w:val="single" w:color="BBBBBB" w:sz="1"/>
              <w:left w:val="single" w:color="BBBBBB" w:sz="1"/>
              <w:bottom w:val="single" w:color="BBBBBB" w:sz="1"/>
              <w:right w:val="single" w:color="BBBBBB" w:sz="1"/>
            </w:tcBorders>
            <w:shd w:fill="FFFFFF"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$43,500</w:t>
            </w:r>
          </w:p>
        </w:tc>
      </w:tr>
      <w:tr>
        <w:tc>
          <w:tcPr>
            <w:tcW w:type="dxa" w:w="560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left"/>
            </w:pPr>
            <w:r>
              <w:rPr>
                <w:rFonts w:ascii="Arial" w:cs="Arial" w:eastAsia="Arial" w:hAnsi="Arial"/>
                <w:b/>
                <w:bCs/>
                <w:color w:val="000000"/>
                <w:sz w:val="18"/>
                <w:szCs w:val="18"/>
              </w:rPr>
              <w:t xml:space="preserve">Parkway Village</w:t>
            </w:r>
          </w:p>
        </w:tc>
        <w:tc>
          <w:tcPr>
            <w:tcW w:type="dxa" w:w="376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right"/>
            </w:pPr>
            <w:r>
              <w:rPr>
                <w:rFonts w:ascii="Arial" w:cs="Arial" w:eastAsia="Arial" w:hAnsi="Arial"/>
                <w:b w:val="false"/>
                <w:bCs w:val="false"/>
                <w:color w:val="000000"/>
                <w:sz w:val="18"/>
                <w:szCs w:val="18"/>
              </w:rPr>
              <w:t xml:space="preserve">$31,070</w:t>
            </w:r>
          </w:p>
        </w:tc>
      </w:tr>
      <w:tr>
        <w:tc>
          <w:tcPr>
            <w:tcW w:type="dxa" w:w="560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left"/>
            </w:pPr>
            <w:r>
              <w:rPr>
                <w:rFonts w:ascii="Arial" w:cs="Arial" w:eastAsia="Arial" w:hAnsi="Arial"/>
                <w:b/>
                <w:bCs/>
                <w:color w:val="FFFFFF"/>
                <w:sz w:val="18"/>
                <w:szCs w:val="18"/>
              </w:rPr>
              <w:t xml:space="preserve">TOTAL</w:t>
            </w:r>
          </w:p>
        </w:tc>
        <w:tc>
          <w:tcPr>
            <w:tcW w:type="dxa" w:w="376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right"/>
            </w:pPr>
            <w:r>
              <w:rPr>
                <w:rFonts w:ascii="Arial" w:cs="Arial" w:eastAsia="Arial" w:hAnsi="Arial"/>
                <w:b/>
                <w:bCs/>
                <w:color w:val="FFFFFF"/>
                <w:sz w:val="18"/>
                <w:szCs w:val="18"/>
              </w:rPr>
              <w:t xml:space="preserve">$1,257,602</w:t>
            </w:r>
          </w:p>
        </w:tc>
      </w:tr>
    </w:tbl>
    <w:p>
      <w:pPr>
        <w:spacing w:after="200"/>
      </w:pPr>
      <w:r>
        <w:rPr>
          <w:rFonts w:ascii="Arial" w:cs="Arial" w:eastAsia="Arial" w:hAnsi="Arial"/>
          <w:b w:val="false"/>
          <w:bCs w:val="false"/>
          <w:i/>
          <w:iCs/>
          <w:sz w:val="22"/>
          <w:szCs w:val="22"/>
        </w:rPr>
        <w:t xml:space="preserve">Arbor Village and Rustic Pines together account for about 61% of portfolio capital spending, both driven primarily by water and sewer work.</w:t>
      </w:r>
    </w:p>
    <w:p>
      <w:pPr>
        <w:pStyle w:val="Heading1"/>
      </w:pPr>
      <w:r>
        <w:t xml:space="preserve">Water &amp; Sewer (Account 1802) — $1,005,043</w:t>
      </w:r>
    </w:p>
    <w:p>
      <w:pPr>
        <w:spacing w:after="120"/>
      </w:pPr>
      <w:r>
        <w:rPr>
          <w:rFonts w:ascii="Arial" w:cs="Arial" w:eastAsia="Arial" w:hAnsi="Arial"/>
          <w:sz w:val="22"/>
          <w:szCs w:val="22"/>
        </w:rPr>
        <w:t xml:space="preserve">The dominant category, concentrated at Arbor Village (~$391K) and Rustic Pines (~$290K). Work centered on water-line leak repairs, isolation-valve projects, sewer-main inspection and rehabilitation, and wastewater treatment plant (WWTP) compliance — much of it tied to state regulatory orders.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$755,865</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$249,178</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$1,005,043</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$755,865. </w:t>
      </w:r>
      <w:r>
        <w:rPr>
          <w:rFonts w:ascii="Arial" w:cs="Arial" w:eastAsia="Arial" w:hAnsi="Arial"/>
          <w:b w:val="false"/>
          <w:bCs w:val="false"/>
          <w:i w:val="false"/>
          <w:iCs w:val="false"/>
          <w:sz w:val="22"/>
          <w:szCs w:val="22"/>
        </w:rPr>
        <w:t xml:space="preserve">At Arbor Village, a major water-valve and isolation project (Brevalle Properties — gate-valve replacements ~$34,400, valve-project final payment $24,000, water-main break repair $12,240, plus WWTP water-isolation NOV payments), numerous individual leak repairs (Hillside Excavation, A+ Plumbing, DrainZ), and a $35,600 EGLE stipulated penalty. At Rustic Pines, sewer-main video inspection by Lake County Sewer (~$43,000), engineering to diagnose system leaks (Ziad Musallam ~$21,000), sand-bed cleaning and aeration pumping (Joseph Kristoff ~$39,600), a generator installation (Great Lakes ~$14,400), and a $23,500 Ohio EPA civil penalty. A large sewer back-up repair at Villager (1 Tom Plumber ~$26,000) and manhole replacement at New Village.</w:t>
      </w:r>
    </w:p>
    <w:p>
      <w:pPr>
        <w:pStyle w:val="ListParagraph"/>
        <w:numPr>
          <w:ilvl w:val="0"/>
          <w:numId w:val="2"/>
        </w:numPr>
        <w:spacing w:after="60"/>
      </w:pPr>
      <w:r>
        <w:rPr>
          <w:rFonts w:ascii="Arial" w:cs="Arial" w:eastAsia="Arial" w:hAnsi="Arial"/>
          <w:b/>
          <w:bCs/>
          <w:i w:val="false"/>
          <w:iCs w:val="false"/>
          <w:sz w:val="22"/>
          <w:szCs w:val="22"/>
        </w:rPr>
        <w:t xml:space="preserve">2026 YTD — $249,178. </w:t>
      </w:r>
      <w:r>
        <w:rPr>
          <w:rFonts w:ascii="Arial" w:cs="Arial" w:eastAsia="Arial" w:hAnsi="Arial"/>
          <w:b w:val="false"/>
          <w:bCs w:val="false"/>
          <w:i w:val="false"/>
          <w:iCs w:val="false"/>
          <w:sz w:val="22"/>
          <w:szCs w:val="22"/>
        </w:rPr>
        <w:t xml:space="preserve">Continued Arbor Village valve and leak work (Hillside Excavation isolation-valve repairs ~$17,900 and ~$17,500, plus additional leak repairs) and further EGLE penalties (~$31,000 combined). At Rustic Pines, sewer test/seal rehabilitation by Lake County Sewer (~$35,200).</w:t>
      </w:r>
    </w:p>
    <w:p>
      <w:pPr>
        <w:pStyle w:val="Heading1"/>
      </w:pPr>
      <w:r>
        <w:t xml:space="preserve">Trees (Account 1804) — $102,330</w:t>
      </w:r>
    </w:p>
    <w:p>
      <w:pPr>
        <w:spacing w:after="120"/>
      </w:pPr>
      <w:r>
        <w:rPr>
          <w:rFonts w:ascii="Arial" w:cs="Arial" w:eastAsia="Arial" w:hAnsi="Arial"/>
          <w:sz w:val="22"/>
          <w:szCs w:val="22"/>
        </w:rPr>
        <w:t xml:space="preserve">Almost entirely storm- and tornado-driven hazard and emergency removals.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$37,980</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$64,350</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$102,330</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$37,980. </w:t>
      </w:r>
      <w:r>
        <w:rPr>
          <w:rFonts w:ascii="Arial" w:cs="Arial" w:eastAsia="Arial" w:hAnsi="Arial"/>
          <w:b w:val="false"/>
          <w:bCs w:val="false"/>
          <w:i w:val="false"/>
          <w:iCs w:val="false"/>
          <w:sz w:val="22"/>
          <w:szCs w:val="22"/>
        </w:rPr>
        <w:t xml:space="preserve">Hazard and emergency dead-tree removals at Parkway Village (County Tree ~$13,700), Rustic Pines (Joseph Kristoff $7,800), state-inspection tree trimming at Watson (Dream Ponds $6,600), and emergency removals at Four Seasons ($4,800), Villager, and Watson.</w:t>
      </w:r>
    </w:p>
    <w:p>
      <w:pPr>
        <w:pStyle w:val="ListParagraph"/>
        <w:numPr>
          <w:ilvl w:val="0"/>
          <w:numId w:val="2"/>
        </w:numPr>
        <w:spacing w:after="60"/>
      </w:pPr>
      <w:r>
        <w:rPr>
          <w:rFonts w:ascii="Arial" w:cs="Arial" w:eastAsia="Arial" w:hAnsi="Arial"/>
          <w:b/>
          <w:bCs/>
          <w:i w:val="false"/>
          <w:iCs w:val="false"/>
          <w:sz w:val="22"/>
          <w:szCs w:val="22"/>
        </w:rPr>
        <w:t xml:space="preserve">2026 YTD — $64,350. </w:t>
      </w:r>
      <w:r>
        <w:rPr>
          <w:rFonts w:ascii="Arial" w:cs="Arial" w:eastAsia="Arial" w:hAnsi="Arial"/>
          <w:b w:val="false"/>
          <w:bCs w:val="false"/>
          <w:i w:val="false"/>
          <w:iCs w:val="false"/>
          <w:sz w:val="22"/>
          <w:szCs w:val="22"/>
        </w:rPr>
        <w:t xml:space="preserve">Dominated by tornado storm-damage cleanup at Gun River West (All Around Trees ~$46,900) and Watson (Randall's Lawncare ~$9,800), plus removals at Brady Hills (Woodman, three lots ~$6,100), Arbor Village, and an emergency removal at New Village.</w:t>
      </w:r>
    </w:p>
    <w:p>
      <w:pPr>
        <w:pStyle w:val="Heading1"/>
      </w:pPr>
      <w:r>
        <w:t xml:space="preserve">Roads (Account 1803) — $54,801</w:t>
      </w:r>
    </w:p>
    <w:p>
      <w:pPr>
        <w:spacing w:after="120"/>
      </w:pPr>
      <w:r>
        <w:rPr>
          <w:rFonts w:ascii="Arial" w:cs="Arial" w:eastAsia="Arial" w:hAnsi="Arial"/>
          <w:sz w:val="22"/>
          <w:szCs w:val="22"/>
        </w:rPr>
        <w:t xml:space="preserve">Almost all road spending was pothole and asphalt repair completed to clear state violations.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$3,831</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$50,970</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$54,801</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$3,831. </w:t>
      </w:r>
      <w:r>
        <w:rPr>
          <w:rFonts w:ascii="Arial" w:cs="Arial" w:eastAsia="Arial" w:hAnsi="Arial"/>
          <w:b w:val="false"/>
          <w:bCs w:val="false"/>
          <w:i w:val="false"/>
          <w:iCs w:val="false"/>
          <w:sz w:val="22"/>
          <w:szCs w:val="22"/>
        </w:rPr>
        <w:t xml:space="preserve">Pothole / road-repair materials at Four Seasons and Rustic Pines (state-violation pickups).</w:t>
      </w:r>
    </w:p>
    <w:p>
      <w:pPr>
        <w:pStyle w:val="ListParagraph"/>
        <w:numPr>
          <w:ilvl w:val="0"/>
          <w:numId w:val="2"/>
        </w:numPr>
        <w:spacing w:after="60"/>
      </w:pPr>
      <w:r>
        <w:rPr>
          <w:rFonts w:ascii="Arial" w:cs="Arial" w:eastAsia="Arial" w:hAnsi="Arial"/>
          <w:b/>
          <w:bCs/>
          <w:i w:val="false"/>
          <w:iCs w:val="false"/>
          <w:sz w:val="22"/>
          <w:szCs w:val="22"/>
        </w:rPr>
        <w:t xml:space="preserve">2026 YTD — $50,970. </w:t>
      </w:r>
      <w:r>
        <w:rPr>
          <w:rFonts w:ascii="Arial" w:cs="Arial" w:eastAsia="Arial" w:hAnsi="Arial"/>
          <w:b w:val="false"/>
          <w:bCs w:val="false"/>
          <w:i w:val="false"/>
          <w:iCs w:val="false"/>
          <w:sz w:val="22"/>
          <w:szCs w:val="22"/>
        </w:rPr>
        <w:t xml:space="preserve">Major asphalt repairs for state violations: New Village (Quality Asphalt $28,140 plus park-entrance asphalt), Rustic Pines (Mike Pinchak cul-de-sac repair $8,160), Arbor Village (Williams Sealcoating ~$8,800), and supplies at Parkway Village.</w:t>
      </w:r>
    </w:p>
    <w:p>
      <w:pPr>
        <w:pStyle w:val="Heading1"/>
      </w:pPr>
      <w:r>
        <w:t xml:space="preserve">Electric (Account 1806) — $50,228</w:t>
      </w:r>
    </w:p>
    <w:p>
      <w:pPr>
        <w:spacing w:after="120"/>
      </w:pPr>
      <w:r>
        <w:rPr>
          <w:rFonts w:ascii="Arial" w:cs="Arial" w:eastAsia="Arial" w:hAnsi="Arial"/>
          <w:sz w:val="22"/>
          <w:szCs w:val="22"/>
        </w:rPr>
        <w:t xml:space="preserve">Pedestal, street-light, and service-wire repairs across several parks.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$41,221</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$9,007</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$50,228</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$41,221. </w:t>
      </w:r>
      <w:r>
        <w:rPr>
          <w:rFonts w:ascii="Arial" w:cs="Arial" w:eastAsia="Arial" w:hAnsi="Arial"/>
          <w:b w:val="false"/>
          <w:bCs w:val="false"/>
          <w:i w:val="false"/>
          <w:iCs w:val="false"/>
          <w:sz w:val="22"/>
          <w:szCs w:val="22"/>
        </w:rPr>
        <w:t xml:space="preserve">Arbor Village electrical work (Cochran Electric ~$23,100), Four Seasons pedestal and service repairs (Valewood ~$9,300), a new power pedestal at Watson, underground service-wire repairs at Rustic Pines, a lot electrical upgrade and solar street lights at New Village, and a pole repair at Parkway. (Villager includes ~$3,300 of Becdel Controls late fees / court costs booked here.)</w:t>
      </w:r>
    </w:p>
    <w:p>
      <w:pPr>
        <w:pStyle w:val="ListParagraph"/>
        <w:numPr>
          <w:ilvl w:val="0"/>
          <w:numId w:val="2"/>
        </w:numPr>
        <w:spacing w:after="60"/>
      </w:pPr>
      <w:r>
        <w:rPr>
          <w:rFonts w:ascii="Arial" w:cs="Arial" w:eastAsia="Arial" w:hAnsi="Arial"/>
          <w:b/>
          <w:bCs/>
          <w:i w:val="false"/>
          <w:iCs w:val="false"/>
          <w:sz w:val="22"/>
          <w:szCs w:val="22"/>
        </w:rPr>
        <w:t xml:space="preserve">2026 YTD — $9,007. </w:t>
      </w:r>
      <w:r>
        <w:rPr>
          <w:rFonts w:ascii="Arial" w:cs="Arial" w:eastAsia="Arial" w:hAnsi="Arial"/>
          <w:b w:val="false"/>
          <w:bCs w:val="false"/>
          <w:i w:val="false"/>
          <w:iCs w:val="false"/>
          <w:sz w:val="22"/>
          <w:szCs w:val="22"/>
        </w:rPr>
        <w:t xml:space="preserve">Street-light repair at Arbor Village to clear a 2026 state violation (A+ Electric ~$9,006) and a Rustic Pines underground-break repair.</w:t>
      </w:r>
    </w:p>
    <w:p>
      <w:pPr>
        <w:pStyle w:val="Heading1"/>
      </w:pPr>
      <w:r>
        <w:t xml:space="preserve">Capital Improvements – General (Account 1801) — $39,001</w:t>
      </w:r>
    </w:p>
    <w:p>
      <w:pPr>
        <w:spacing w:after="120"/>
      </w:pPr>
      <w:r>
        <w:rPr>
          <w:rFonts w:ascii="Arial" w:cs="Arial" w:eastAsia="Arial" w:hAnsi="Arial"/>
          <w:b w:val="false"/>
          <w:bCs w:val="false"/>
          <w:i w:val="false"/>
          <w:iCs w:val="false"/>
          <w:sz w:val="22"/>
          <w:szCs w:val="22"/>
        </w:rPr>
        <w:t xml:space="preserve">Home demolitions, shed/debris removal, and clean-up dumpsters. Gross spend was $39,001; net of insurance recoveries and reclassifications (about $25,400 of credits, including a New Village fire-damage insurance check and debris-removal reimbursement), net capitalized cost was roughly </w:t>
      </w:r>
      <w:r>
        <w:rPr>
          <w:rFonts w:ascii="Arial" w:cs="Arial" w:eastAsia="Arial" w:hAnsi="Arial"/>
          <w:b/>
          <w:bCs/>
          <w:i w:val="false"/>
          <w:iCs w:val="false"/>
          <w:sz w:val="22"/>
          <w:szCs w:val="22"/>
        </w:rPr>
        <w:t xml:space="preserve">$13,600</w:t>
      </w:r>
      <w:r>
        <w:rPr>
          <w:rFonts w:ascii="Arial" w:cs="Arial" w:eastAsia="Arial" w:hAnsi="Arial"/>
          <w:b w:val="false"/>
          <w:bCs w:val="false"/>
          <w:i w:val="false"/>
          <w:iCs w:val="false"/>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$13,801</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$25,200</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$39,001</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$13,801. </w:t>
      </w:r>
      <w:r>
        <w:rPr>
          <w:rFonts w:ascii="Arial" w:cs="Arial" w:eastAsia="Arial" w:hAnsi="Arial"/>
          <w:b w:val="false"/>
          <w:bCs w:val="false"/>
          <w:i w:val="false"/>
          <w:iCs w:val="false"/>
          <w:sz w:val="22"/>
          <w:szCs w:val="22"/>
        </w:rPr>
        <w:t xml:space="preserve">Home demolition at New Village (Paramount, NV-120 ~$7,470), shed demolition and fall clean-up dumpsters at Arbor Village, and gas-line / gas-meter compliance work at Four Seasons.</w:t>
      </w:r>
    </w:p>
    <w:p>
      <w:pPr>
        <w:pStyle w:val="ListParagraph"/>
        <w:numPr>
          <w:ilvl w:val="0"/>
          <w:numId w:val="2"/>
        </w:numPr>
        <w:spacing w:after="60"/>
      </w:pPr>
      <w:r>
        <w:rPr>
          <w:rFonts w:ascii="Arial" w:cs="Arial" w:eastAsia="Arial" w:hAnsi="Arial"/>
          <w:b/>
          <w:bCs/>
          <w:i w:val="false"/>
          <w:iCs w:val="false"/>
          <w:sz w:val="22"/>
          <w:szCs w:val="22"/>
        </w:rPr>
        <w:t xml:space="preserve">2026 YTD — $25,200. </w:t>
      </w:r>
      <w:r>
        <w:rPr>
          <w:rFonts w:ascii="Arial" w:cs="Arial" w:eastAsia="Arial" w:hAnsi="Arial"/>
          <w:b w:val="false"/>
          <w:bCs w:val="false"/>
          <w:i w:val="false"/>
          <w:iCs w:val="false"/>
          <w:sz w:val="22"/>
          <w:szCs w:val="22"/>
        </w:rPr>
        <w:t xml:space="preserve">Home demolitions at Arbor Village (Paramount, AV-242 and AV-271, ~$7,680 each) and Brady Hills (Hedrick Brothers, BHL-130, $9,840).</w:t>
      </w:r>
    </w:p>
    <w:p>
      <w:pPr>
        <w:pStyle w:val="Heading1"/>
      </w:pPr>
      <w:r>
        <w:t xml:space="preserve">Auto / Vehicles (Account 1805) — $6,200</w:t>
      </w:r>
    </w:p>
    <w:p>
      <w:pPr>
        <w:spacing w:after="120"/>
      </w:pPr>
      <w:r>
        <w:rPr>
          <w:rFonts w:ascii="Arial" w:cs="Arial" w:eastAsia="Arial" w:hAnsi="Arial"/>
          <w:sz w:val="22"/>
          <w:szCs w:val="22"/>
        </w:rPr>
        <w:t xml:space="preserve">A small account, entirely at Four Seasons, for the park truck and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2025</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2026 (YTD)</w:t>
            </w:r>
          </w:p>
        </w:tc>
        <w:tc>
          <w:tcPr>
            <w:tcW w:type="dxa" w:w="3120"/>
            <w:tcBorders>
              <w:top w:val="single" w:color="BBBBBB" w:sz="1"/>
              <w:left w:val="single" w:color="BBBBBB" w:sz="1"/>
              <w:bottom w:val="single" w:color="BBBBBB" w:sz="1"/>
              <w:right w:val="single" w:color="BBBBBB" w:sz="1"/>
            </w:tcBorders>
            <w:shd w:fill="1F3864" w:val="clear"/>
            <w:tcMar>
              <w:top w:type="dxa" w:w="60"/>
              <w:left w:type="dxa" w:w="110"/>
              <w:bottom w:type="dxa" w:w="60"/>
              <w:right w:type="dxa" w:w="110"/>
            </w:tcMar>
          </w:tcPr>
          <w:p>
            <w:pPr>
              <w:jc w:val="center"/>
            </w:pPr>
            <w:r>
              <w:rPr>
                <w:rFonts w:ascii="Arial" w:cs="Arial" w:eastAsia="Arial" w:hAnsi="Arial"/>
                <w:b/>
                <w:bCs/>
                <w:color w:val="FFFFFF"/>
                <w:sz w:val="18"/>
                <w:szCs w:val="18"/>
              </w:rPr>
              <w:t xml:space="preserve">Total</w:t>
            </w:r>
          </w:p>
        </w:tc>
      </w:tr>
      <w:tr>
        <w:tc>
          <w:tcPr>
            <w:tcW w:type="dxa" w:w="3120"/>
            <w:tcBorders>
              <w:top w:val="single" w:color="BBBBBB" w:sz="1"/>
              <w:left w:val="single" w:color="BBBBBB" w:sz="1"/>
              <w:bottom w:val="single" w:color="BBBBBB" w:sz="1"/>
              <w:right w:val="single" w:color="BBBBBB" w:sz="1"/>
            </w:tcBorders>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$400</w:t>
            </w:r>
          </w:p>
        </w:tc>
        <w:tc>
          <w:tcPr>
            <w:tcW w:type="dxa" w:w="3120"/>
            <w:tcBorders>
              <w:top w:val="single" w:color="BBBBBB" w:sz="1"/>
              <w:left w:val="single" w:color="BBBBBB" w:sz="1"/>
              <w:bottom w:val="single" w:color="BBBBBB" w:sz="1"/>
              <w:right w:val="single" w:color="BBBBBB" w:sz="1"/>
            </w:tcBorders>
            <w:shd w:fill="F2F2F2" w:val="clear"/>
            <w:tcMar>
              <w:top w:type="dxa" w:w="60"/>
              <w:left w:type="dxa" w:w="110"/>
              <w:bottom w:type="dxa" w:w="60"/>
              <w:right w:type="dxa" w:w="110"/>
            </w:tcMar>
          </w:tcPr>
          <w:p>
            <w:pPr>
              <w:jc w:val="center"/>
            </w:pPr>
            <w:r>
              <w:rPr>
                <w:rFonts w:ascii="Arial" w:cs="Arial" w:eastAsia="Arial" w:hAnsi="Arial"/>
                <w:b w:val="false"/>
                <w:bCs w:val="false"/>
                <w:color w:val="000000"/>
                <w:sz w:val="20"/>
                <w:szCs w:val="20"/>
              </w:rPr>
              <w:t xml:space="preserve">$5,800</w:t>
            </w:r>
          </w:p>
        </w:tc>
        <w:tc>
          <w:tcPr>
            <w:tcW w:type="dxa" w:w="3120"/>
            <w:tcBorders>
              <w:top w:val="single" w:color="BBBBBB" w:sz="1"/>
              <w:left w:val="single" w:color="BBBBBB" w:sz="1"/>
              <w:bottom w:val="single" w:color="BBBBBB" w:sz="1"/>
              <w:right w:val="single" w:color="BBBBBB" w:sz="1"/>
            </w:tcBorders>
            <w:shd w:fill="D9E1F2" w:val="clear"/>
            <w:tcMar>
              <w:top w:type="dxa" w:w="60"/>
              <w:left w:type="dxa" w:w="110"/>
              <w:bottom w:type="dxa" w:w="60"/>
              <w:right w:type="dxa" w:w="110"/>
            </w:tcMar>
          </w:tcPr>
          <w:p>
            <w:pPr>
              <w:jc w:val="center"/>
            </w:pPr>
            <w:r>
              <w:rPr>
                <w:rFonts w:ascii="Arial" w:cs="Arial" w:eastAsia="Arial" w:hAnsi="Arial"/>
                <w:b/>
                <w:bCs/>
                <w:color w:val="000000"/>
                <w:sz w:val="20"/>
                <w:szCs w:val="20"/>
              </w:rPr>
              <w:t xml:space="preserve">$6,200</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2025 — $400. </w:t>
      </w:r>
      <w:r>
        <w:rPr>
          <w:rFonts w:ascii="Arial" w:cs="Arial" w:eastAsia="Arial" w:hAnsi="Arial"/>
          <w:b w:val="false"/>
          <w:bCs w:val="false"/>
          <w:i w:val="false"/>
          <w:iCs w:val="false"/>
          <w:sz w:val="22"/>
          <w:szCs w:val="22"/>
        </w:rPr>
        <w:t xml:space="preserve">Two truck tires for the park truck.</w:t>
      </w:r>
    </w:p>
    <w:p>
      <w:pPr>
        <w:pStyle w:val="ListParagraph"/>
        <w:numPr>
          <w:ilvl w:val="0"/>
          <w:numId w:val="2"/>
        </w:numPr>
        <w:spacing w:after="60"/>
      </w:pPr>
      <w:r>
        <w:rPr>
          <w:rFonts w:ascii="Arial" w:cs="Arial" w:eastAsia="Arial" w:hAnsi="Arial"/>
          <w:b/>
          <w:bCs/>
          <w:i w:val="false"/>
          <w:iCs w:val="false"/>
          <w:sz w:val="22"/>
          <w:szCs w:val="22"/>
        </w:rPr>
        <w:t xml:space="preserve">2026 YTD — $5,800. </w:t>
      </w:r>
      <w:r>
        <w:rPr>
          <w:rFonts w:ascii="Arial" w:cs="Arial" w:eastAsia="Arial" w:hAnsi="Arial"/>
          <w:b w:val="false"/>
          <w:bCs w:val="false"/>
          <w:i w:val="false"/>
          <w:iCs w:val="false"/>
          <w:sz w:val="22"/>
          <w:szCs w:val="22"/>
        </w:rPr>
        <w:t xml:space="preserve">Maintenance supplies and a battery (~$1,900) and a dump-truck repair (Duncan Mobile Blasting $3,900).</w:t>
      </w:r>
    </w:p>
    <w:p>
      <w:pPr>
        <w:pStyle w:val="Heading1"/>
      </w:pPr>
      <w:r>
        <w:t xml:space="preserve">Notes on Methodology</w:t>
      </w:r>
    </w:p>
    <w:p>
      <w:pPr>
        <w:pStyle w:val="ListParagraph"/>
        <w:numPr>
          <w:ilvl w:val="0"/>
          <w:numId w:val="2"/>
        </w:numPr>
        <w:spacing w:after="60"/>
      </w:pPr>
      <w:r>
        <w:rPr>
          <w:rFonts w:ascii="Arial" w:cs="Arial" w:eastAsia="Arial" w:hAnsi="Arial"/>
          <w:sz w:val="22"/>
          <w:szCs w:val="22"/>
        </w:rPr>
        <w:t xml:space="preserve">Amounts shown are gross capitalized spending (general ledger debits) by calendar year, summed from the capital improvement asset accounts 1801–1806 across all ten properties. They reconcile exactly to the activity totals in the source ledger and to the accompanying Excel workbook ($1,257,602 total).</w:t>
      </w:r>
    </w:p>
    <w:p>
      <w:pPr>
        <w:pStyle w:val="ListParagraph"/>
        <w:numPr>
          <w:ilvl w:val="0"/>
          <w:numId w:val="2"/>
        </w:numPr>
        <w:spacing w:after="60"/>
      </w:pPr>
      <w:r>
        <w:rPr>
          <w:rFonts w:ascii="Arial" w:cs="Arial" w:eastAsia="Arial" w:hAnsi="Arial"/>
          <w:sz w:val="22"/>
          <w:szCs w:val="22"/>
        </w:rPr>
        <w:t xml:space="preserve">Credits posted to these accounts — insurance recoveries (e.g., the New Village fire-damage and debris-removal reimbursements), vendor adjustments, and a post-tax-return reclassification — are not netted out of the figures above except where specifically noted (Account 1801). Total credits over the period were about $47,900, so net capitalized activity was approximately $1,209,700.</w:t>
      </w:r>
    </w:p>
    <w:p>
      <w:pPr>
        <w:pStyle w:val="ListParagraph"/>
        <w:numPr>
          <w:ilvl w:val="0"/>
          <w:numId w:val="2"/>
        </w:numPr>
        <w:spacing w:after="60"/>
      </w:pPr>
      <w:r>
        <w:rPr>
          <w:rFonts w:ascii="Arial" w:cs="Arial" w:eastAsia="Arial" w:hAnsi="Arial"/>
          <w:sz w:val="22"/>
          <w:szCs w:val="22"/>
        </w:rPr>
        <w:t xml:space="preserve">The report period (01/01/2025 – 06/23/2026) spans two calendar years; 2026 amounts are year-to-date through June 23, 2026 and are not a full year.</w:t>
      </w:r>
    </w:p>
    <w:p>
      <w:pPr>
        <w:pStyle w:val="ListParagraph"/>
        <w:numPr>
          <w:ilvl w:val="0"/>
          <w:numId w:val="2"/>
        </w:numPr>
        <w:spacing w:after="60"/>
      </w:pPr>
      <w:r>
        <w:rPr>
          <w:rFonts w:ascii="Arial" w:cs="Arial" w:eastAsia="Arial" w:hAnsi="Arial"/>
          <w:sz w:val="22"/>
          <w:szCs w:val="22"/>
        </w:rPr>
        <w:t xml:space="preserve">Work was characterized from the vendor and description on each ledger line. The accompanying Excel workbook contains a category-by-year summary, a property-by-category matrix, and every individual line item for reference.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DST 3 — Capital Expenditures Report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2"/>
      </w:pBdr>
      <w:spacing w:after="140" w:before="280"/>
      <w:outlineLvl w:val="0"/>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2026-06-23T17:57:35.840Z</dcterms:created>
  <dcterms:modified xsi:type="dcterms:W3CDTF">2026-06-23T17:57:35.855Z</dcterms:modified>
</cp:coreProperties>
</file>

<file path=docProps/custom.xml><?xml version="1.0" encoding="utf-8"?>
<Properties xmlns="http://schemas.openxmlformats.org/officeDocument/2006/custom-properties" xmlns:vt="http://schemas.openxmlformats.org/officeDocument/2006/docPropsVTypes"/>
</file>